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02396" w14:textId="77777777" w:rsidR="0073360E" w:rsidRDefault="0073360E" w:rsidP="0073360E">
      <w:pPr>
        <w:tabs>
          <w:tab w:val="left" w:pos="2340"/>
        </w:tabs>
        <w:spacing w:before="60" w:after="0"/>
        <w:ind w:firstLine="2340"/>
        <w:rPr>
          <w:rStyle w:val="Strong"/>
          <w:rFonts w:ascii="Century Gothic" w:eastAsia="Times New Roman" w:hAnsi="Century Gothic" w:cs="Tahoma"/>
          <w:color w:val="595959" w:themeColor="text1" w:themeTint="A6"/>
          <w:sz w:val="30"/>
          <w:szCs w:val="30"/>
        </w:rPr>
      </w:pPr>
      <w:r w:rsidRPr="00694A52">
        <w:rPr>
          <w:noProof/>
        </w:rPr>
        <w:drawing>
          <wp:anchor distT="0" distB="0" distL="114300" distR="114300" simplePos="0" relativeHeight="251662336" behindDoc="1" locked="0" layoutInCell="1" allowOverlap="1" wp14:anchorId="530E89A5" wp14:editId="6FC36F55">
            <wp:simplePos x="0" y="0"/>
            <wp:positionH relativeFrom="margin">
              <wp:posOffset>-114300</wp:posOffset>
            </wp:positionH>
            <wp:positionV relativeFrom="paragraph">
              <wp:posOffset>44450</wp:posOffset>
            </wp:positionV>
            <wp:extent cx="1466850" cy="781050"/>
            <wp:effectExtent l="0" t="0" r="0" b="0"/>
            <wp:wrapNone/>
            <wp:docPr id="2" name="Picture 2" descr="P:\Kansas MCH Council\Maternal &amp; Child Health Logos\For Print\Primary\print primary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ansas MCH Council\Maternal &amp; Child Health Logos\For Print\Primary\print primary 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7810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Style w:val="Strong"/>
          <w:rFonts w:ascii="Century Gothic" w:eastAsia="Times New Roman" w:hAnsi="Century Gothic" w:cs="Tahoma"/>
          <w:color w:val="595959" w:themeColor="text1" w:themeTint="A6"/>
          <w:sz w:val="30"/>
          <w:szCs w:val="30"/>
        </w:rPr>
        <w:t xml:space="preserve">Domain Group: </w:t>
      </w:r>
      <w:r w:rsidRPr="00D977BA">
        <w:rPr>
          <w:rStyle w:val="Strong"/>
          <w:rFonts w:ascii="Century Gothic" w:eastAsia="Times New Roman" w:hAnsi="Century Gothic" w:cs="Tahoma"/>
          <w:b w:val="0"/>
          <w:color w:val="595959" w:themeColor="text1" w:themeTint="A6"/>
          <w:sz w:val="30"/>
          <w:szCs w:val="30"/>
        </w:rPr>
        <w:t>Adolescent</w:t>
      </w:r>
    </w:p>
    <w:p w14:paraId="6C8237FC" w14:textId="77777777" w:rsidR="0073360E" w:rsidRPr="00B80424" w:rsidRDefault="0073360E" w:rsidP="0073360E">
      <w:pPr>
        <w:tabs>
          <w:tab w:val="left" w:pos="2340"/>
        </w:tabs>
        <w:spacing w:before="60" w:after="0"/>
        <w:rPr>
          <w:rStyle w:val="Strong"/>
          <w:rFonts w:asciiTheme="majorHAnsi" w:eastAsia="Times New Roman" w:hAnsiTheme="majorHAnsi" w:cs="Tahoma"/>
          <w:b w:val="0"/>
          <w:color w:val="808080" w:themeColor="background1" w:themeShade="80"/>
          <w:sz w:val="28"/>
          <w:szCs w:val="28"/>
        </w:rPr>
      </w:pPr>
      <w:r>
        <w:rPr>
          <w:rStyle w:val="Strong"/>
          <w:rFonts w:asciiTheme="majorHAnsi" w:eastAsia="Times New Roman" w:hAnsiTheme="majorHAnsi" w:cs="Tahoma"/>
          <w:color w:val="808080" w:themeColor="background1" w:themeShade="80"/>
          <w:sz w:val="30"/>
          <w:szCs w:val="30"/>
        </w:rPr>
        <w:tab/>
      </w:r>
      <w:r w:rsidRPr="00B80424">
        <w:rPr>
          <w:rStyle w:val="Strong"/>
          <w:rFonts w:asciiTheme="majorHAnsi" w:eastAsia="Times New Roman" w:hAnsiTheme="majorHAnsi" w:cs="Tahoma"/>
          <w:color w:val="808080" w:themeColor="background1" w:themeShade="80"/>
          <w:sz w:val="28"/>
          <w:szCs w:val="28"/>
        </w:rPr>
        <w:t xml:space="preserve">Expert Guest(s): </w:t>
      </w:r>
      <w:r w:rsidRPr="00B80424">
        <w:rPr>
          <w:rStyle w:val="Strong"/>
          <w:rFonts w:asciiTheme="majorHAnsi" w:eastAsia="Times New Roman" w:hAnsiTheme="majorHAnsi" w:cs="Tahoma"/>
          <w:b w:val="0"/>
          <w:color w:val="808080" w:themeColor="background1" w:themeShade="80"/>
          <w:sz w:val="28"/>
          <w:szCs w:val="28"/>
        </w:rPr>
        <w:t xml:space="preserve">Dr. Kari Harris, </w:t>
      </w:r>
      <w:r w:rsidR="00871219" w:rsidRPr="00B80424">
        <w:rPr>
          <w:rStyle w:val="Strong"/>
          <w:rFonts w:asciiTheme="majorHAnsi" w:eastAsia="Times New Roman" w:hAnsiTheme="majorHAnsi" w:cs="Tahoma"/>
          <w:b w:val="0"/>
          <w:color w:val="808080" w:themeColor="background1" w:themeShade="80"/>
          <w:sz w:val="28"/>
          <w:szCs w:val="28"/>
        </w:rPr>
        <w:t xml:space="preserve">Judi </w:t>
      </w:r>
      <w:bookmarkStart w:id="0" w:name="_GoBack"/>
      <w:bookmarkEnd w:id="0"/>
      <w:r w:rsidR="00871219" w:rsidRPr="00B80424">
        <w:rPr>
          <w:rStyle w:val="Strong"/>
          <w:rFonts w:asciiTheme="majorHAnsi" w:eastAsia="Times New Roman" w:hAnsiTheme="majorHAnsi" w:cs="Tahoma"/>
          <w:b w:val="0"/>
          <w:color w:val="808080" w:themeColor="background1" w:themeShade="80"/>
          <w:sz w:val="28"/>
          <w:szCs w:val="28"/>
        </w:rPr>
        <w:t xml:space="preserve">Rodman, </w:t>
      </w:r>
      <w:r w:rsidRPr="00B80424">
        <w:rPr>
          <w:rStyle w:val="Strong"/>
          <w:rFonts w:asciiTheme="majorHAnsi" w:eastAsia="Times New Roman" w:hAnsiTheme="majorHAnsi" w:cs="Tahoma"/>
          <w:b w:val="0"/>
          <w:color w:val="808080" w:themeColor="background1" w:themeShade="80"/>
          <w:sz w:val="28"/>
          <w:szCs w:val="28"/>
        </w:rPr>
        <w:t>Lisa Chaney, Julia Connellis</w:t>
      </w:r>
    </w:p>
    <w:p w14:paraId="5AAAC08C" w14:textId="47D25617" w:rsidR="0073360E" w:rsidRPr="00B80424" w:rsidRDefault="0073360E" w:rsidP="0073360E">
      <w:pPr>
        <w:tabs>
          <w:tab w:val="left" w:pos="2340"/>
        </w:tabs>
        <w:spacing w:before="60" w:after="0"/>
        <w:rPr>
          <w:rStyle w:val="Strong"/>
          <w:rFonts w:asciiTheme="majorHAnsi" w:eastAsia="Times New Roman" w:hAnsiTheme="majorHAnsi" w:cs="Tahoma"/>
          <w:color w:val="808080" w:themeColor="background1" w:themeShade="80"/>
          <w:sz w:val="28"/>
          <w:szCs w:val="28"/>
        </w:rPr>
      </w:pPr>
      <w:r w:rsidRPr="00B80424">
        <w:rPr>
          <w:rStyle w:val="Strong"/>
          <w:rFonts w:asciiTheme="majorHAnsi" w:eastAsia="Times New Roman" w:hAnsiTheme="majorHAnsi" w:cs="Tahoma"/>
          <w:b w:val="0"/>
          <w:color w:val="808080" w:themeColor="background1" w:themeShade="80"/>
          <w:sz w:val="28"/>
          <w:szCs w:val="28"/>
        </w:rPr>
        <w:tab/>
      </w:r>
      <w:r w:rsidRPr="00B80424">
        <w:rPr>
          <w:rStyle w:val="Strong"/>
          <w:rFonts w:asciiTheme="majorHAnsi" w:eastAsia="Times New Roman" w:hAnsiTheme="majorHAnsi" w:cs="Tahoma"/>
          <w:color w:val="808080" w:themeColor="background1" w:themeShade="80"/>
          <w:sz w:val="28"/>
          <w:szCs w:val="28"/>
        </w:rPr>
        <w:t>Lead Staff:</w:t>
      </w:r>
      <w:r w:rsidRPr="00B80424">
        <w:rPr>
          <w:rStyle w:val="Strong"/>
          <w:rFonts w:asciiTheme="majorHAnsi" w:eastAsia="Times New Roman" w:hAnsiTheme="majorHAnsi" w:cs="Tahoma"/>
          <w:b w:val="0"/>
          <w:color w:val="808080" w:themeColor="background1" w:themeShade="80"/>
          <w:sz w:val="28"/>
          <w:szCs w:val="28"/>
        </w:rPr>
        <w:t xml:space="preserve"> </w:t>
      </w:r>
      <w:proofErr w:type="spellStart"/>
      <w:r w:rsidRPr="00B80424">
        <w:rPr>
          <w:rStyle w:val="Strong"/>
          <w:rFonts w:asciiTheme="majorHAnsi" w:eastAsia="Times New Roman" w:hAnsiTheme="majorHAnsi" w:cs="Tahoma"/>
          <w:b w:val="0"/>
          <w:color w:val="808080" w:themeColor="background1" w:themeShade="80"/>
          <w:sz w:val="28"/>
          <w:szCs w:val="28"/>
        </w:rPr>
        <w:t>Kelsee</w:t>
      </w:r>
      <w:proofErr w:type="spellEnd"/>
      <w:r w:rsidRPr="00B80424">
        <w:rPr>
          <w:rStyle w:val="Strong"/>
          <w:rFonts w:asciiTheme="majorHAnsi" w:eastAsia="Times New Roman" w:hAnsiTheme="majorHAnsi" w:cs="Tahoma"/>
          <w:b w:val="0"/>
          <w:color w:val="808080" w:themeColor="background1" w:themeShade="80"/>
          <w:sz w:val="28"/>
          <w:szCs w:val="28"/>
        </w:rPr>
        <w:t xml:space="preserve"> Torrez</w:t>
      </w:r>
      <w:r w:rsidR="00871219" w:rsidRPr="00B80424">
        <w:rPr>
          <w:rStyle w:val="Strong"/>
          <w:rFonts w:asciiTheme="majorHAnsi" w:eastAsia="Times New Roman" w:hAnsiTheme="majorHAnsi" w:cs="Tahoma"/>
          <w:b w:val="0"/>
          <w:color w:val="808080" w:themeColor="background1" w:themeShade="80"/>
          <w:sz w:val="28"/>
          <w:szCs w:val="28"/>
        </w:rPr>
        <w:t xml:space="preserve"> </w:t>
      </w:r>
      <w:r w:rsidR="00B80424">
        <w:rPr>
          <w:rStyle w:val="Strong"/>
          <w:rFonts w:asciiTheme="majorHAnsi" w:eastAsia="Times New Roman" w:hAnsiTheme="majorHAnsi" w:cs="Tahoma"/>
          <w:b w:val="0"/>
          <w:color w:val="808080" w:themeColor="background1" w:themeShade="80"/>
          <w:sz w:val="28"/>
          <w:szCs w:val="28"/>
        </w:rPr>
        <w:t xml:space="preserve">  </w:t>
      </w:r>
      <w:r w:rsidR="00871219" w:rsidRPr="00B80424">
        <w:rPr>
          <w:rStyle w:val="Strong"/>
          <w:rFonts w:asciiTheme="majorHAnsi" w:eastAsia="Times New Roman" w:hAnsiTheme="majorHAnsi" w:cs="Tahoma"/>
          <w:color w:val="808080" w:themeColor="background1" w:themeShade="80"/>
          <w:sz w:val="28"/>
          <w:szCs w:val="28"/>
        </w:rPr>
        <w:t xml:space="preserve">Recorder: </w:t>
      </w:r>
      <w:r w:rsidR="00871219" w:rsidRPr="00B80424">
        <w:rPr>
          <w:rStyle w:val="Strong"/>
          <w:rFonts w:asciiTheme="majorHAnsi" w:eastAsia="Times New Roman" w:hAnsiTheme="majorHAnsi" w:cs="Tahoma"/>
          <w:b w:val="0"/>
          <w:color w:val="808080" w:themeColor="background1" w:themeShade="80"/>
          <w:sz w:val="28"/>
          <w:szCs w:val="28"/>
        </w:rPr>
        <w:t>Sarah Fischer</w:t>
      </w:r>
    </w:p>
    <w:p w14:paraId="63A99A64" w14:textId="77777777" w:rsidR="0073360E" w:rsidRDefault="0073360E" w:rsidP="0073360E">
      <w:pPr>
        <w:spacing w:after="0"/>
        <w:rPr>
          <w:rFonts w:ascii="Century Gothic" w:hAnsi="Century Gothic" w:cs="Calibri"/>
          <w:b/>
          <w:sz w:val="20"/>
          <w:szCs w:val="24"/>
        </w:rPr>
      </w:pPr>
      <w:r>
        <w:rPr>
          <w:noProof/>
        </w:rPr>
        <mc:AlternateContent>
          <mc:Choice Requires="wps">
            <w:drawing>
              <wp:anchor distT="0" distB="0" distL="114300" distR="114300" simplePos="0" relativeHeight="251663360" behindDoc="0" locked="0" layoutInCell="1" allowOverlap="1" wp14:anchorId="3792FB67" wp14:editId="1CC36B12">
                <wp:simplePos x="0" y="0"/>
                <wp:positionH relativeFrom="margin">
                  <wp:posOffset>1306830</wp:posOffset>
                </wp:positionH>
                <wp:positionV relativeFrom="paragraph">
                  <wp:posOffset>23495</wp:posOffset>
                </wp:positionV>
                <wp:extent cx="5486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486400"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529B9D"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2.9pt,1.85pt" to="534.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" strokecolor="#ed7d31 [3205]" strokeweight="1.5pt">
                <v:stroke joinstyle="miter"/>
                <w10:wrap anchorx="margin"/>
              </v:line>
            </w:pict>
          </mc:Fallback>
        </mc:AlternateContent>
      </w:r>
    </w:p>
    <w:p w14:paraId="7C94DEDE" w14:textId="77777777" w:rsidR="0073360E" w:rsidRPr="0097136F" w:rsidRDefault="0073360E" w:rsidP="0073360E">
      <w:pPr>
        <w:autoSpaceDE w:val="0"/>
        <w:autoSpaceDN w:val="0"/>
        <w:adjustRightInd w:val="0"/>
        <w:spacing w:after="120" w:line="240" w:lineRule="auto"/>
        <w:rPr>
          <w:rFonts w:ascii="Century Gothic" w:hAnsi="Century Gothic" w:cs="Calibri"/>
          <w:i/>
          <w:color w:val="404040" w:themeColor="text1" w:themeTint="BF"/>
          <w:szCs w:val="24"/>
        </w:rPr>
      </w:pPr>
      <w:r>
        <w:rPr>
          <w:rFonts w:ascii="Century Gothic" w:hAnsi="Century Gothic" w:cs="Calibri"/>
          <w:b/>
          <w:color w:val="404040" w:themeColor="text1" w:themeTint="BF"/>
          <w:szCs w:val="24"/>
        </w:rPr>
        <w:t xml:space="preserve">Focus Area:  </w:t>
      </w:r>
      <w:r w:rsidRPr="0097136F">
        <w:rPr>
          <w:rFonts w:ascii="Century Gothic" w:hAnsi="Century Gothic" w:cs="Calibri"/>
          <w:i/>
          <w:color w:val="404040" w:themeColor="text1" w:themeTint="BF"/>
          <w:szCs w:val="24"/>
        </w:rPr>
        <w:t>Provide brief responses to the following questions related to the focus area/issue.</w:t>
      </w:r>
    </w:p>
    <w:tbl>
      <w:tblPr>
        <w:tblStyle w:val="TableGrid"/>
        <w:tblW w:w="10890" w:type="dxa"/>
        <w:tblInd w:w="-5" w:type="dxa"/>
        <w:shd w:val="clear" w:color="auto" w:fill="D0CECE" w:themeFill="background2" w:themeFillShade="E6"/>
        <w:tblLook w:val="04A0" w:firstRow="1" w:lastRow="0" w:firstColumn="1" w:lastColumn="0" w:noHBand="0" w:noVBand="1"/>
      </w:tblPr>
      <w:tblGrid>
        <w:gridCol w:w="3690"/>
        <w:gridCol w:w="7200"/>
      </w:tblGrid>
      <w:tr w:rsidR="0073360E" w:rsidRPr="000A4171" w14:paraId="683D89D2" w14:textId="77777777" w:rsidTr="00A329F7">
        <w:trPr>
          <w:trHeight w:val="530"/>
          <w:tblHeader/>
        </w:trPr>
        <w:tc>
          <w:tcPr>
            <w:tcW w:w="3690" w:type="dxa"/>
            <w:shd w:val="clear" w:color="auto" w:fill="D5EDF7"/>
            <w:vAlign w:val="center"/>
          </w:tcPr>
          <w:p w14:paraId="7636E41B" w14:textId="77777777" w:rsidR="0073360E" w:rsidRPr="000A4171" w:rsidRDefault="0073360E" w:rsidP="00900E4A">
            <w:pPr>
              <w:jc w:val="center"/>
              <w:rPr>
                <w:rStyle w:val="Strong"/>
                <w:rFonts w:ascii="Century Gothic" w:eastAsia="Times New Roman" w:hAnsi="Century Gothic" w:cs="Tahoma"/>
                <w:color w:val="0070C0"/>
              </w:rPr>
            </w:pPr>
            <w:r w:rsidRPr="000A4171">
              <w:rPr>
                <w:rStyle w:val="Strong"/>
                <w:rFonts w:ascii="Century Gothic" w:eastAsia="Times New Roman" w:hAnsi="Century Gothic" w:cs="Tahoma"/>
                <w:color w:val="0070C0"/>
              </w:rPr>
              <w:t>Discussion Question</w:t>
            </w:r>
            <w:r>
              <w:rPr>
                <w:rStyle w:val="Strong"/>
                <w:rFonts w:ascii="Century Gothic" w:eastAsia="Times New Roman" w:hAnsi="Century Gothic" w:cs="Tahoma"/>
                <w:color w:val="0070C0"/>
              </w:rPr>
              <w:t>s</w:t>
            </w:r>
          </w:p>
        </w:tc>
        <w:tc>
          <w:tcPr>
            <w:tcW w:w="7200" w:type="dxa"/>
            <w:shd w:val="clear" w:color="auto" w:fill="D5EDF7"/>
            <w:vAlign w:val="center"/>
          </w:tcPr>
          <w:p w14:paraId="32D9CA95" w14:textId="77777777" w:rsidR="0073360E" w:rsidRPr="000A4171" w:rsidRDefault="0073360E" w:rsidP="00900E4A">
            <w:pPr>
              <w:jc w:val="center"/>
              <w:rPr>
                <w:rStyle w:val="Strong"/>
                <w:rFonts w:ascii="Century Gothic" w:eastAsia="Times New Roman" w:hAnsi="Century Gothic" w:cs="Tahoma"/>
                <w:color w:val="0070C0"/>
              </w:rPr>
            </w:pPr>
            <w:r w:rsidRPr="000A4171">
              <w:rPr>
                <w:rStyle w:val="Strong"/>
                <w:rFonts w:ascii="Century Gothic" w:eastAsia="Times New Roman" w:hAnsi="Century Gothic" w:cs="Tahoma"/>
                <w:color w:val="0070C0"/>
              </w:rPr>
              <w:t>Comments</w:t>
            </w:r>
          </w:p>
        </w:tc>
      </w:tr>
      <w:tr w:rsidR="0073360E" w:rsidRPr="00103AAC" w14:paraId="06E961CA" w14:textId="77777777" w:rsidTr="00A329F7">
        <w:trPr>
          <w:trHeight w:val="935"/>
        </w:trPr>
        <w:tc>
          <w:tcPr>
            <w:tcW w:w="3690" w:type="dxa"/>
            <w:shd w:val="clear" w:color="auto" w:fill="E7E6E6" w:themeFill="background2"/>
            <w:tcMar>
              <w:top w:w="72" w:type="dxa"/>
              <w:left w:w="115" w:type="dxa"/>
              <w:bottom w:w="72" w:type="dxa"/>
              <w:right w:w="115" w:type="dxa"/>
            </w:tcMar>
            <w:vAlign w:val="center"/>
          </w:tcPr>
          <w:p w14:paraId="1BDD395F" w14:textId="40ABCE84" w:rsidR="0073360E" w:rsidRPr="004116EC" w:rsidRDefault="0073360E" w:rsidP="004116EC">
            <w:pPr>
              <w:pStyle w:val="ListParagraph"/>
              <w:numPr>
                <w:ilvl w:val="0"/>
                <w:numId w:val="27"/>
              </w:numPr>
              <w:tabs>
                <w:tab w:val="left" w:pos="1086"/>
                <w:tab w:val="left" w:pos="1445"/>
              </w:tabs>
              <w:spacing w:before="120" w:line="247" w:lineRule="auto"/>
              <w:ind w:left="330"/>
              <w:rPr>
                <w:rStyle w:val="Strong"/>
                <w:rFonts w:ascii="Century Gothic" w:hAnsi="Century Gothic"/>
                <w:b w:val="0"/>
                <w:bCs w:val="0"/>
                <w:sz w:val="20"/>
                <w:szCs w:val="20"/>
              </w:rPr>
            </w:pPr>
            <w:r w:rsidRPr="004116EC">
              <w:rPr>
                <w:rFonts w:ascii="Century Gothic" w:hAnsi="Century Gothic"/>
                <w:sz w:val="20"/>
                <w:szCs w:val="20"/>
              </w:rPr>
              <w:t>What is the problem/focus issue?</w:t>
            </w:r>
            <w:r w:rsidRPr="004116EC">
              <w:rPr>
                <w:rFonts w:eastAsia="Times New Roman"/>
                <w:color w:val="000000"/>
              </w:rPr>
              <w:t xml:space="preserve"> </w:t>
            </w:r>
          </w:p>
        </w:tc>
        <w:tc>
          <w:tcPr>
            <w:tcW w:w="7200" w:type="dxa"/>
            <w:shd w:val="clear" w:color="auto" w:fill="FFFFFF" w:themeFill="background1"/>
            <w:tcMar>
              <w:top w:w="72" w:type="dxa"/>
              <w:bottom w:w="72" w:type="dxa"/>
            </w:tcMar>
            <w:vAlign w:val="center"/>
          </w:tcPr>
          <w:p w14:paraId="10EEC390" w14:textId="77777777" w:rsidR="00965869" w:rsidRDefault="0073360E" w:rsidP="00900E4A">
            <w:pPr>
              <w:pStyle w:val="CommentText"/>
            </w:pPr>
            <w:r w:rsidRPr="00965869">
              <w:t xml:space="preserve">This will be an action alert </w:t>
            </w:r>
            <w:r w:rsidR="00965869">
              <w:t>calling on</w:t>
            </w:r>
            <w:r w:rsidRPr="00965869">
              <w:t xml:space="preserve"> everyone </w:t>
            </w:r>
            <w:r w:rsidR="00965869">
              <w:t>to get involved and take</w:t>
            </w:r>
            <w:r w:rsidRPr="00965869">
              <w:t xml:space="preserve"> action around </w:t>
            </w:r>
            <w:r w:rsidR="00965869">
              <w:t xml:space="preserve">impactful efforts, </w:t>
            </w:r>
            <w:r w:rsidRPr="00965869">
              <w:t>solutions and improvements</w:t>
            </w:r>
            <w:r w:rsidR="000E543C">
              <w:t xml:space="preserve"> around suicide prevention</w:t>
            </w:r>
            <w:r w:rsidRPr="00965869">
              <w:t xml:space="preserve">. Focus on what each person/role/sector can do right now—small but potentially very impactful strategies (parents, youth, schools, government, providers, communities, etc.). </w:t>
            </w:r>
          </w:p>
          <w:p w14:paraId="32D11AD1" w14:textId="77777777" w:rsidR="00965869" w:rsidRDefault="00965869" w:rsidP="00900E4A">
            <w:pPr>
              <w:pStyle w:val="CommentText"/>
            </w:pPr>
          </w:p>
          <w:p w14:paraId="1AFEA3E9" w14:textId="77777777" w:rsidR="0073360E" w:rsidRDefault="0073360E" w:rsidP="00900E4A">
            <w:pPr>
              <w:pStyle w:val="CommentText"/>
            </w:pPr>
            <w:r w:rsidRPr="00965869">
              <w:t xml:space="preserve">NOTE: Review the </w:t>
            </w:r>
            <w:hyperlink r:id="rId8" w:history="1">
              <w:r w:rsidRPr="00EE15ED">
                <w:rPr>
                  <w:rStyle w:val="Hyperlink"/>
                </w:rPr>
                <w:t>CDC Technical Package</w:t>
              </w:r>
            </w:hyperlink>
            <w:r w:rsidR="00EE15ED">
              <w:t>*</w:t>
            </w:r>
            <w:r w:rsidRPr="00965869">
              <w:t xml:space="preserve"> strategies</w:t>
            </w:r>
            <w:r w:rsidR="00965869">
              <w:t xml:space="preserve"> for suicide prevention</w:t>
            </w:r>
            <w:r w:rsidRPr="00965869">
              <w:t>—can we align with something and draw from what to do?</w:t>
            </w:r>
            <w:r w:rsidR="00965869">
              <w:t xml:space="preserve"> What other key resources and recommendations can we draw from? </w:t>
            </w:r>
          </w:p>
          <w:p w14:paraId="35E2EF45" w14:textId="77777777" w:rsidR="00965869" w:rsidRDefault="00965869" w:rsidP="00900E4A">
            <w:pPr>
              <w:pStyle w:val="CommentText"/>
            </w:pPr>
          </w:p>
          <w:p w14:paraId="5E020ACC" w14:textId="77777777" w:rsidR="00965869" w:rsidRDefault="00965869" w:rsidP="00900E4A">
            <w:pPr>
              <w:pStyle w:val="CommentText"/>
            </w:pPr>
            <w:r>
              <w:t xml:space="preserve">FYI: There is a highly collaborative group of state agencies and suicide prevention partners that has been convening for months. They are currently working on an awareness initiative with joint messaging and “call to action” </w:t>
            </w:r>
            <w:r w:rsidR="00EE15ED">
              <w:t>that will involve the media.</w:t>
            </w:r>
          </w:p>
          <w:p w14:paraId="0F65210F" w14:textId="77777777" w:rsidR="00EE15ED" w:rsidRPr="00965869" w:rsidRDefault="00EE15ED" w:rsidP="00900E4A">
            <w:pPr>
              <w:pStyle w:val="CommentText"/>
            </w:pPr>
          </w:p>
          <w:p w14:paraId="35B1F3F9" w14:textId="77777777" w:rsidR="0073360E" w:rsidRPr="00965869" w:rsidRDefault="00EE15ED" w:rsidP="00900E4A">
            <w:pPr>
              <w:pStyle w:val="CommentText"/>
              <w:rPr>
                <w:rStyle w:val="Strong"/>
                <w:b w:val="0"/>
                <w:bCs w:val="0"/>
              </w:rPr>
            </w:pPr>
            <w:r>
              <w:rPr>
                <w:rStyle w:val="Strong"/>
                <w:b w:val="0"/>
                <w:bCs w:val="0"/>
              </w:rPr>
              <w:t>*</w:t>
            </w:r>
            <w:r>
              <w:t xml:space="preserve"> </w:t>
            </w:r>
            <w:hyperlink r:id="rId9" w:history="1">
              <w:r>
                <w:rPr>
                  <w:rStyle w:val="Hyperlink"/>
                </w:rPr>
                <w:t>https://www.cdc.gov/violenceprevention/pdf/suicideTechnicalPackage.pdf</w:t>
              </w:r>
            </w:hyperlink>
          </w:p>
        </w:tc>
      </w:tr>
      <w:tr w:rsidR="0073360E" w:rsidRPr="00103AAC" w14:paraId="75A86E99" w14:textId="77777777" w:rsidTr="00A329F7">
        <w:trPr>
          <w:trHeight w:val="755"/>
        </w:trPr>
        <w:tc>
          <w:tcPr>
            <w:tcW w:w="3690" w:type="dxa"/>
            <w:shd w:val="clear" w:color="auto" w:fill="E7E6E6" w:themeFill="background2"/>
            <w:tcMar>
              <w:top w:w="72" w:type="dxa"/>
              <w:left w:w="115" w:type="dxa"/>
              <w:bottom w:w="72" w:type="dxa"/>
              <w:right w:w="115" w:type="dxa"/>
            </w:tcMar>
            <w:vAlign w:val="center"/>
          </w:tcPr>
          <w:p w14:paraId="42593D0D" w14:textId="7CFDAE15" w:rsidR="0073360E" w:rsidRPr="004116EC" w:rsidRDefault="0073360E" w:rsidP="004116EC">
            <w:pPr>
              <w:pStyle w:val="ListParagraph"/>
              <w:numPr>
                <w:ilvl w:val="0"/>
                <w:numId w:val="27"/>
              </w:numPr>
              <w:tabs>
                <w:tab w:val="left" w:pos="1086"/>
                <w:tab w:val="left" w:pos="1445"/>
              </w:tabs>
              <w:spacing w:before="120" w:line="247" w:lineRule="auto"/>
              <w:ind w:left="330"/>
              <w:rPr>
                <w:rFonts w:ascii="Century Gothic" w:hAnsi="Century Gothic"/>
                <w:sz w:val="20"/>
                <w:szCs w:val="20"/>
              </w:rPr>
            </w:pPr>
            <w:r w:rsidRPr="004116EC">
              <w:rPr>
                <w:rFonts w:ascii="Century Gothic" w:hAnsi="Century Gothic"/>
                <w:sz w:val="20"/>
                <w:szCs w:val="20"/>
              </w:rPr>
              <w:t>Who is the target audience for the message(s)?</w:t>
            </w:r>
          </w:p>
        </w:tc>
        <w:tc>
          <w:tcPr>
            <w:tcW w:w="7200" w:type="dxa"/>
            <w:shd w:val="clear" w:color="auto" w:fill="FFFFFF" w:themeFill="background1"/>
            <w:tcMar>
              <w:top w:w="72" w:type="dxa"/>
              <w:bottom w:w="72" w:type="dxa"/>
            </w:tcMar>
            <w:vAlign w:val="center"/>
          </w:tcPr>
          <w:p w14:paraId="44F13C70" w14:textId="33C2CD48" w:rsidR="007939EC" w:rsidRPr="007939EC" w:rsidRDefault="0073360E" w:rsidP="00871219">
            <w:pPr>
              <w:rPr>
                <w:rStyle w:val="Strong"/>
                <w:rFonts w:eastAsia="Times New Roman" w:cs="Tahoma"/>
                <w:color w:val="00B050"/>
                <w:sz w:val="20"/>
                <w:szCs w:val="20"/>
              </w:rPr>
            </w:pPr>
            <w:r w:rsidRPr="00965869">
              <w:rPr>
                <w:sz w:val="20"/>
                <w:szCs w:val="20"/>
              </w:rPr>
              <w:t>Audience is all (</w:t>
            </w:r>
            <w:r w:rsidR="00871219">
              <w:rPr>
                <w:sz w:val="20"/>
                <w:szCs w:val="20"/>
              </w:rPr>
              <w:t xml:space="preserve">youth, </w:t>
            </w:r>
            <w:r w:rsidRPr="00965869">
              <w:rPr>
                <w:sz w:val="20"/>
                <w:szCs w:val="20"/>
              </w:rPr>
              <w:t xml:space="preserve">parents, caregivers, families, physicians, </w:t>
            </w:r>
            <w:r w:rsidR="00871219">
              <w:rPr>
                <w:sz w:val="20"/>
                <w:szCs w:val="20"/>
              </w:rPr>
              <w:t xml:space="preserve">school personnel, </w:t>
            </w:r>
            <w:r w:rsidRPr="00965869">
              <w:rPr>
                <w:sz w:val="20"/>
                <w:szCs w:val="20"/>
              </w:rPr>
              <w:t>communities, etc.)</w:t>
            </w:r>
            <w:r w:rsidR="0036579B">
              <w:rPr>
                <w:sz w:val="20"/>
                <w:szCs w:val="20"/>
              </w:rPr>
              <w:t xml:space="preserve"> </w:t>
            </w:r>
          </w:p>
        </w:tc>
      </w:tr>
      <w:tr w:rsidR="0073360E" w:rsidRPr="00103AAC" w14:paraId="70D2D74F" w14:textId="77777777" w:rsidTr="00A329F7">
        <w:trPr>
          <w:trHeight w:val="935"/>
        </w:trPr>
        <w:tc>
          <w:tcPr>
            <w:tcW w:w="3690" w:type="dxa"/>
            <w:shd w:val="clear" w:color="auto" w:fill="E7E6E6" w:themeFill="background2"/>
            <w:tcMar>
              <w:top w:w="72" w:type="dxa"/>
              <w:left w:w="115" w:type="dxa"/>
              <w:bottom w:w="72" w:type="dxa"/>
              <w:right w:w="115" w:type="dxa"/>
            </w:tcMar>
            <w:vAlign w:val="center"/>
          </w:tcPr>
          <w:p w14:paraId="59A7E296" w14:textId="6A6ABB6C" w:rsidR="0073360E" w:rsidRPr="004116EC" w:rsidRDefault="0073360E" w:rsidP="004116EC">
            <w:pPr>
              <w:pStyle w:val="ListParagraph"/>
              <w:numPr>
                <w:ilvl w:val="0"/>
                <w:numId w:val="27"/>
              </w:numPr>
              <w:tabs>
                <w:tab w:val="left" w:pos="1086"/>
                <w:tab w:val="left" w:pos="1445"/>
              </w:tabs>
              <w:spacing w:line="247" w:lineRule="auto"/>
              <w:ind w:left="330"/>
              <w:rPr>
                <w:rFonts w:ascii="Century Gothic" w:hAnsi="Century Gothic"/>
                <w:sz w:val="20"/>
                <w:szCs w:val="20"/>
              </w:rPr>
            </w:pPr>
            <w:r w:rsidRPr="004116EC">
              <w:rPr>
                <w:rFonts w:ascii="Century Gothic" w:hAnsi="Century Gothic"/>
                <w:sz w:val="20"/>
                <w:szCs w:val="20"/>
              </w:rPr>
              <w:t>What type of document/product related to outreach/messaging are you preparing (what is the purpose) and why? (action alert, infographic, bulletin, etc.)</w:t>
            </w:r>
          </w:p>
        </w:tc>
        <w:tc>
          <w:tcPr>
            <w:tcW w:w="7200" w:type="dxa"/>
            <w:shd w:val="clear" w:color="auto" w:fill="FFFFFF" w:themeFill="background1"/>
            <w:tcMar>
              <w:top w:w="72" w:type="dxa"/>
              <w:bottom w:w="72" w:type="dxa"/>
            </w:tcMar>
            <w:vAlign w:val="center"/>
          </w:tcPr>
          <w:p w14:paraId="18AC69D7" w14:textId="77777777" w:rsidR="0073360E" w:rsidRDefault="0073360E" w:rsidP="00900E4A">
            <w:pPr>
              <w:rPr>
                <w:rStyle w:val="Strong"/>
                <w:rFonts w:eastAsia="Times New Roman" w:cstheme="minorHAnsi"/>
                <w:b w:val="0"/>
                <w:sz w:val="20"/>
                <w:szCs w:val="20"/>
              </w:rPr>
            </w:pPr>
            <w:r w:rsidRPr="00965869">
              <w:rPr>
                <w:rStyle w:val="Strong"/>
                <w:rFonts w:eastAsia="Times New Roman" w:cstheme="minorHAnsi"/>
                <w:b w:val="0"/>
                <w:sz w:val="20"/>
                <w:szCs w:val="20"/>
              </w:rPr>
              <w:t>Action Alert/Call to Action</w:t>
            </w:r>
          </w:p>
          <w:p w14:paraId="29650C50" w14:textId="77777777" w:rsidR="00965869" w:rsidRPr="00965869" w:rsidRDefault="00965869" w:rsidP="00900E4A">
            <w:pPr>
              <w:rPr>
                <w:rStyle w:val="Strong"/>
                <w:rFonts w:eastAsia="Times New Roman" w:cstheme="minorHAnsi"/>
                <w:b w:val="0"/>
                <w:sz w:val="20"/>
                <w:szCs w:val="20"/>
              </w:rPr>
            </w:pPr>
          </w:p>
          <w:p w14:paraId="24961D2D" w14:textId="77777777" w:rsidR="0073360E" w:rsidRDefault="0073360E" w:rsidP="00900E4A">
            <w:pPr>
              <w:rPr>
                <w:rStyle w:val="Strong"/>
                <w:rFonts w:eastAsia="Times New Roman" w:cstheme="minorHAnsi"/>
                <w:b w:val="0"/>
                <w:sz w:val="20"/>
                <w:szCs w:val="20"/>
              </w:rPr>
            </w:pPr>
            <w:r w:rsidRPr="00965869">
              <w:rPr>
                <w:rStyle w:val="Strong"/>
                <w:rFonts w:eastAsia="Times New Roman" w:cstheme="minorHAnsi"/>
                <w:b w:val="0"/>
                <w:sz w:val="20"/>
                <w:szCs w:val="20"/>
              </w:rPr>
              <w:t>(</w:t>
            </w:r>
            <w:r w:rsidR="00965869" w:rsidRPr="00965869">
              <w:rPr>
                <w:rStyle w:val="Strong"/>
                <w:rFonts w:eastAsia="Times New Roman" w:cstheme="minorHAnsi"/>
                <w:b w:val="0"/>
                <w:sz w:val="20"/>
                <w:szCs w:val="20"/>
              </w:rPr>
              <w:t>Use data, strategies, tips, and reminders to send the messages to impact behavior</w:t>
            </w:r>
            <w:r w:rsidR="00965869">
              <w:rPr>
                <w:rStyle w:val="Strong"/>
                <w:rFonts w:eastAsia="Times New Roman" w:cstheme="minorHAnsi"/>
                <w:b w:val="0"/>
                <w:sz w:val="20"/>
                <w:szCs w:val="20"/>
              </w:rPr>
              <w:t>;</w:t>
            </w:r>
            <w:r w:rsidR="00965869" w:rsidRPr="00965869">
              <w:rPr>
                <w:rStyle w:val="Strong"/>
                <w:rFonts w:eastAsia="Times New Roman" w:cstheme="minorHAnsi"/>
                <w:b w:val="0"/>
                <w:sz w:val="20"/>
                <w:szCs w:val="20"/>
              </w:rPr>
              <w:t xml:space="preserve"> </w:t>
            </w:r>
            <w:r w:rsidRPr="00965869">
              <w:rPr>
                <w:rStyle w:val="Strong"/>
                <w:rFonts w:eastAsia="Times New Roman" w:cstheme="minorHAnsi"/>
                <w:b w:val="0"/>
                <w:sz w:val="20"/>
                <w:szCs w:val="20"/>
              </w:rPr>
              <w:t>intent is to mobilize and activate/create and drive action across sectors – we are all a part of the solution and can do something now</w:t>
            </w:r>
            <w:r w:rsidR="00965869">
              <w:rPr>
                <w:rStyle w:val="Strong"/>
                <w:rFonts w:eastAsia="Times New Roman" w:cstheme="minorHAnsi"/>
                <w:b w:val="0"/>
                <w:sz w:val="20"/>
                <w:szCs w:val="20"/>
              </w:rPr>
              <w:t>.</w:t>
            </w:r>
            <w:r w:rsidRPr="00965869">
              <w:rPr>
                <w:rStyle w:val="Strong"/>
                <w:rFonts w:eastAsia="Times New Roman" w:cstheme="minorHAnsi"/>
                <w:b w:val="0"/>
                <w:sz w:val="20"/>
                <w:szCs w:val="20"/>
              </w:rPr>
              <w:t>)</w:t>
            </w:r>
          </w:p>
          <w:p w14:paraId="04EC1AF5" w14:textId="3ECB2216" w:rsidR="0036579B" w:rsidRPr="00965869" w:rsidRDefault="0036579B" w:rsidP="00900E4A">
            <w:pPr>
              <w:rPr>
                <w:rStyle w:val="Strong"/>
                <w:rFonts w:eastAsia="Times New Roman" w:cstheme="minorHAnsi"/>
                <w:b w:val="0"/>
                <w:sz w:val="20"/>
                <w:szCs w:val="20"/>
              </w:rPr>
            </w:pPr>
          </w:p>
        </w:tc>
      </w:tr>
      <w:tr w:rsidR="0073360E" w:rsidRPr="00103AAC" w14:paraId="27F662A9" w14:textId="77777777" w:rsidTr="00A329F7">
        <w:trPr>
          <w:trHeight w:val="935"/>
        </w:trPr>
        <w:tc>
          <w:tcPr>
            <w:tcW w:w="3690" w:type="dxa"/>
            <w:shd w:val="clear" w:color="auto" w:fill="E7E6E6" w:themeFill="background2"/>
            <w:tcMar>
              <w:top w:w="72" w:type="dxa"/>
              <w:left w:w="115" w:type="dxa"/>
              <w:bottom w:w="72" w:type="dxa"/>
              <w:right w:w="115" w:type="dxa"/>
            </w:tcMar>
            <w:vAlign w:val="center"/>
          </w:tcPr>
          <w:p w14:paraId="639AD547" w14:textId="5E81778E" w:rsidR="0073360E" w:rsidRPr="004116EC" w:rsidRDefault="0073360E" w:rsidP="004116EC">
            <w:pPr>
              <w:pStyle w:val="ListParagraph"/>
              <w:numPr>
                <w:ilvl w:val="0"/>
                <w:numId w:val="27"/>
              </w:numPr>
              <w:tabs>
                <w:tab w:val="left" w:pos="1086"/>
                <w:tab w:val="left" w:pos="1445"/>
              </w:tabs>
              <w:spacing w:before="120" w:line="247" w:lineRule="auto"/>
              <w:ind w:left="330"/>
              <w:rPr>
                <w:rFonts w:ascii="Century Gothic" w:hAnsi="Century Gothic"/>
                <w:sz w:val="20"/>
                <w:szCs w:val="20"/>
              </w:rPr>
            </w:pPr>
            <w:r w:rsidRPr="004116EC">
              <w:rPr>
                <w:rFonts w:ascii="Century Gothic" w:hAnsi="Century Gothic"/>
                <w:sz w:val="20"/>
                <w:szCs w:val="20"/>
              </w:rPr>
              <w:t>What MCH performance measure does this aim to address/support?</w:t>
            </w:r>
          </w:p>
        </w:tc>
        <w:tc>
          <w:tcPr>
            <w:tcW w:w="7200" w:type="dxa"/>
            <w:shd w:val="clear" w:color="auto" w:fill="FFFFFF" w:themeFill="background1"/>
            <w:tcMar>
              <w:top w:w="72" w:type="dxa"/>
              <w:bottom w:w="72" w:type="dxa"/>
            </w:tcMar>
            <w:vAlign w:val="center"/>
          </w:tcPr>
          <w:p w14:paraId="45F4EE11" w14:textId="77777777" w:rsidR="0073360E" w:rsidRPr="00965869" w:rsidRDefault="0073360E" w:rsidP="0073360E">
            <w:pPr>
              <w:rPr>
                <w:sz w:val="20"/>
                <w:szCs w:val="20"/>
              </w:rPr>
            </w:pPr>
            <w:r w:rsidRPr="00965869">
              <w:rPr>
                <w:sz w:val="20"/>
                <w:szCs w:val="20"/>
              </w:rPr>
              <w:t>NOM 16.1 - Adolescent mortality rate, ages 10 through 19, per 100,000</w:t>
            </w:r>
          </w:p>
          <w:p w14:paraId="605DE3E1" w14:textId="77777777" w:rsidR="0073360E" w:rsidRPr="00023FA9" w:rsidRDefault="0073360E" w:rsidP="0073360E">
            <w:pPr>
              <w:rPr>
                <w:i/>
                <w:sz w:val="16"/>
                <w:szCs w:val="20"/>
              </w:rPr>
            </w:pPr>
            <w:r w:rsidRPr="00023FA9">
              <w:rPr>
                <w:i/>
                <w:sz w:val="16"/>
                <w:szCs w:val="20"/>
              </w:rPr>
              <w:t>Numerator: Number of deaths among adolescents ages 10 through 19 years Denominator: Number of adolescents ages 10 through 19 years</w:t>
            </w:r>
          </w:p>
          <w:p w14:paraId="0CFC298D" w14:textId="77777777" w:rsidR="00023FA9" w:rsidRPr="00023FA9" w:rsidRDefault="00023FA9" w:rsidP="0073360E">
            <w:pPr>
              <w:rPr>
                <w:rStyle w:val="Strong"/>
                <w:rFonts w:eastAsia="Times New Roman" w:cstheme="minorHAnsi"/>
                <w:b w:val="0"/>
                <w:sz w:val="16"/>
                <w:szCs w:val="20"/>
              </w:rPr>
            </w:pPr>
          </w:p>
          <w:p w14:paraId="40D2AE89" w14:textId="77777777" w:rsidR="0073360E" w:rsidRPr="00965869" w:rsidRDefault="0073360E" w:rsidP="0073360E">
            <w:pPr>
              <w:rPr>
                <w:rStyle w:val="Strong"/>
                <w:rFonts w:eastAsia="Times New Roman" w:cstheme="minorHAnsi"/>
                <w:b w:val="0"/>
                <w:sz w:val="20"/>
                <w:szCs w:val="20"/>
              </w:rPr>
            </w:pPr>
            <w:r w:rsidRPr="00965869">
              <w:rPr>
                <w:rStyle w:val="Strong"/>
                <w:rFonts w:eastAsia="Times New Roman" w:cstheme="minorHAnsi"/>
                <w:b w:val="0"/>
                <w:sz w:val="20"/>
                <w:szCs w:val="20"/>
              </w:rPr>
              <w:t xml:space="preserve">NOM 16.3: </w:t>
            </w:r>
            <w:r w:rsidRPr="00965869">
              <w:rPr>
                <w:sz w:val="20"/>
                <w:szCs w:val="20"/>
              </w:rPr>
              <w:t>Adolescent suicide rate, ages 15 through 19, per 100,000</w:t>
            </w:r>
          </w:p>
          <w:p w14:paraId="6D7E8CF7" w14:textId="77777777" w:rsidR="0073360E" w:rsidRPr="00023FA9" w:rsidRDefault="0073360E" w:rsidP="0073360E">
            <w:pPr>
              <w:rPr>
                <w:i/>
                <w:sz w:val="16"/>
                <w:szCs w:val="20"/>
              </w:rPr>
            </w:pPr>
            <w:r w:rsidRPr="00023FA9">
              <w:rPr>
                <w:i/>
                <w:sz w:val="16"/>
                <w:szCs w:val="20"/>
              </w:rPr>
              <w:t>Numerator: Number of deaths attributed to suicide among adolescents ages 15 through 19 years Denominator: Number of adolescents ages 15 through 19 years</w:t>
            </w:r>
          </w:p>
          <w:p w14:paraId="2AF2DFB6" w14:textId="77777777" w:rsidR="0073360E" w:rsidRPr="00965869" w:rsidRDefault="0073360E" w:rsidP="0073360E">
            <w:pPr>
              <w:rPr>
                <w:sz w:val="20"/>
                <w:szCs w:val="20"/>
              </w:rPr>
            </w:pPr>
          </w:p>
          <w:p w14:paraId="427D05E2" w14:textId="77777777" w:rsidR="0073360E" w:rsidRDefault="00023FA9" w:rsidP="009E03DD">
            <w:pPr>
              <w:rPr>
                <w:rStyle w:val="Strong"/>
                <w:rFonts w:eastAsia="Times New Roman" w:cstheme="minorHAnsi"/>
                <w:b w:val="0"/>
                <w:sz w:val="20"/>
                <w:szCs w:val="20"/>
              </w:rPr>
            </w:pPr>
            <w:r>
              <w:rPr>
                <w:rStyle w:val="Strong"/>
                <w:rFonts w:eastAsia="Times New Roman" w:cstheme="minorHAnsi"/>
                <w:b w:val="0"/>
                <w:sz w:val="20"/>
                <w:szCs w:val="20"/>
              </w:rPr>
              <w:t xml:space="preserve">Related: </w:t>
            </w:r>
            <w:r w:rsidR="009E03DD">
              <w:rPr>
                <w:rStyle w:val="Strong"/>
                <w:rFonts w:eastAsia="Times New Roman" w:cstheme="minorHAnsi"/>
                <w:b w:val="0"/>
                <w:sz w:val="20"/>
                <w:szCs w:val="20"/>
              </w:rPr>
              <w:t xml:space="preserve">NPM 9: Bullying; </w:t>
            </w:r>
            <w:r w:rsidR="0073360E" w:rsidRPr="00023FA9">
              <w:rPr>
                <w:rStyle w:val="Strong"/>
                <w:rFonts w:eastAsia="Times New Roman" w:cstheme="minorHAnsi"/>
                <w:b w:val="0"/>
                <w:sz w:val="20"/>
                <w:szCs w:val="20"/>
              </w:rPr>
              <w:t>NPM 10: Adolescent well visit</w:t>
            </w:r>
          </w:p>
          <w:p w14:paraId="515794DA" w14:textId="77777777" w:rsidR="00871219" w:rsidRPr="00023FA9" w:rsidRDefault="00871219" w:rsidP="00871219">
            <w:pPr>
              <w:rPr>
                <w:rStyle w:val="Strong"/>
                <w:rFonts w:eastAsia="Times New Roman" w:cstheme="minorHAnsi"/>
                <w:b w:val="0"/>
                <w:sz w:val="20"/>
                <w:szCs w:val="20"/>
              </w:rPr>
            </w:pPr>
          </w:p>
        </w:tc>
      </w:tr>
      <w:tr w:rsidR="0073360E" w:rsidRPr="00103AAC" w14:paraId="525E65B9" w14:textId="77777777" w:rsidTr="00A329F7">
        <w:trPr>
          <w:trHeight w:val="935"/>
        </w:trPr>
        <w:tc>
          <w:tcPr>
            <w:tcW w:w="3690" w:type="dxa"/>
            <w:shd w:val="clear" w:color="auto" w:fill="E7E6E6" w:themeFill="background2"/>
            <w:tcMar>
              <w:top w:w="72" w:type="dxa"/>
              <w:left w:w="115" w:type="dxa"/>
              <w:bottom w:w="72" w:type="dxa"/>
              <w:right w:w="115" w:type="dxa"/>
            </w:tcMar>
            <w:vAlign w:val="center"/>
          </w:tcPr>
          <w:p w14:paraId="3233C3B7" w14:textId="61D7B088" w:rsidR="0073360E" w:rsidRPr="004116EC" w:rsidRDefault="0073360E" w:rsidP="004116EC">
            <w:pPr>
              <w:pStyle w:val="ListParagraph"/>
              <w:numPr>
                <w:ilvl w:val="0"/>
                <w:numId w:val="27"/>
              </w:numPr>
              <w:tabs>
                <w:tab w:val="left" w:pos="1086"/>
                <w:tab w:val="left" w:pos="1445"/>
              </w:tabs>
              <w:spacing w:line="247" w:lineRule="auto"/>
              <w:ind w:left="330"/>
              <w:rPr>
                <w:rFonts w:ascii="Century Gothic" w:hAnsi="Century Gothic"/>
                <w:sz w:val="20"/>
                <w:szCs w:val="20"/>
              </w:rPr>
            </w:pPr>
            <w:r w:rsidRPr="004116EC">
              <w:rPr>
                <w:rFonts w:ascii="Century Gothic" w:hAnsi="Century Gothic"/>
                <w:sz w:val="20"/>
                <w:szCs w:val="20"/>
              </w:rPr>
              <w:t>Outline the case for need:</w:t>
            </w:r>
          </w:p>
          <w:p w14:paraId="06E8008D" w14:textId="77777777" w:rsidR="0073360E" w:rsidRPr="00916D8D" w:rsidRDefault="0073360E" w:rsidP="0073360E">
            <w:pPr>
              <w:pStyle w:val="ListParagraph"/>
              <w:numPr>
                <w:ilvl w:val="0"/>
                <w:numId w:val="14"/>
              </w:numPr>
              <w:tabs>
                <w:tab w:val="left" w:pos="1086"/>
                <w:tab w:val="left" w:pos="1445"/>
              </w:tabs>
              <w:spacing w:line="247" w:lineRule="auto"/>
              <w:rPr>
                <w:rFonts w:ascii="Century Gothic" w:hAnsi="Century Gothic"/>
                <w:sz w:val="16"/>
                <w:szCs w:val="20"/>
              </w:rPr>
            </w:pPr>
            <w:r w:rsidRPr="00916D8D">
              <w:rPr>
                <w:rFonts w:ascii="Century Gothic" w:eastAsia="Times New Roman" w:hAnsi="Century Gothic"/>
                <w:color w:val="000000"/>
                <w:sz w:val="18"/>
              </w:rPr>
              <w:t xml:space="preserve">Data/negative trends </w:t>
            </w:r>
          </w:p>
          <w:p w14:paraId="0D69D620" w14:textId="77777777" w:rsidR="0073360E" w:rsidRPr="00916D8D" w:rsidRDefault="0073360E" w:rsidP="0073360E">
            <w:pPr>
              <w:pStyle w:val="ListParagraph"/>
              <w:numPr>
                <w:ilvl w:val="0"/>
                <w:numId w:val="14"/>
              </w:numPr>
              <w:tabs>
                <w:tab w:val="left" w:pos="1086"/>
                <w:tab w:val="left" w:pos="1445"/>
              </w:tabs>
              <w:spacing w:before="120" w:line="247" w:lineRule="auto"/>
              <w:rPr>
                <w:rFonts w:ascii="Century Gothic" w:hAnsi="Century Gothic"/>
                <w:sz w:val="16"/>
                <w:szCs w:val="20"/>
              </w:rPr>
            </w:pPr>
            <w:r w:rsidRPr="00916D8D">
              <w:rPr>
                <w:rFonts w:ascii="Century Gothic" w:eastAsia="Times New Roman" w:hAnsi="Century Gothic"/>
                <w:color w:val="000000"/>
                <w:sz w:val="18"/>
              </w:rPr>
              <w:t xml:space="preserve">Behaviors </w:t>
            </w:r>
            <w:r>
              <w:rPr>
                <w:rFonts w:ascii="Century Gothic" w:eastAsia="Times New Roman" w:hAnsi="Century Gothic"/>
                <w:color w:val="000000"/>
                <w:sz w:val="18"/>
              </w:rPr>
              <w:t xml:space="preserve">to </w:t>
            </w:r>
            <w:r w:rsidRPr="00916D8D">
              <w:rPr>
                <w:rFonts w:ascii="Century Gothic" w:eastAsia="Times New Roman" w:hAnsi="Century Gothic"/>
                <w:color w:val="000000"/>
                <w:sz w:val="18"/>
              </w:rPr>
              <w:t>target for change that are contributing to the issue</w:t>
            </w:r>
          </w:p>
          <w:p w14:paraId="3048463E" w14:textId="77777777" w:rsidR="0073360E" w:rsidRPr="00916D8D" w:rsidRDefault="0073360E" w:rsidP="0073360E">
            <w:pPr>
              <w:pStyle w:val="ListParagraph"/>
              <w:numPr>
                <w:ilvl w:val="0"/>
                <w:numId w:val="14"/>
              </w:numPr>
              <w:tabs>
                <w:tab w:val="left" w:pos="1086"/>
                <w:tab w:val="left" w:pos="1445"/>
              </w:tabs>
              <w:spacing w:before="120" w:line="247" w:lineRule="auto"/>
              <w:rPr>
                <w:rFonts w:ascii="Century Gothic" w:hAnsi="Century Gothic"/>
                <w:sz w:val="16"/>
                <w:szCs w:val="20"/>
              </w:rPr>
            </w:pPr>
            <w:r w:rsidRPr="00916D8D">
              <w:rPr>
                <w:rFonts w:ascii="Century Gothic" w:eastAsia="Times New Roman" w:hAnsi="Century Gothic"/>
                <w:color w:val="000000"/>
                <w:sz w:val="18"/>
              </w:rPr>
              <w:t>System and/or policy issues and barriers contributing to the problem</w:t>
            </w:r>
          </w:p>
          <w:p w14:paraId="5FBB9056" w14:textId="77777777" w:rsidR="0073360E" w:rsidRPr="00916D8D" w:rsidRDefault="0073360E" w:rsidP="0073360E">
            <w:pPr>
              <w:pStyle w:val="ListParagraph"/>
              <w:numPr>
                <w:ilvl w:val="0"/>
                <w:numId w:val="14"/>
              </w:numPr>
              <w:tabs>
                <w:tab w:val="left" w:pos="1086"/>
                <w:tab w:val="left" w:pos="1445"/>
              </w:tabs>
              <w:spacing w:before="120" w:line="247" w:lineRule="auto"/>
              <w:rPr>
                <w:rStyle w:val="Strong"/>
                <w:rFonts w:ascii="Century Gothic" w:hAnsi="Century Gothic"/>
                <w:b w:val="0"/>
                <w:bCs w:val="0"/>
                <w:sz w:val="20"/>
                <w:szCs w:val="20"/>
              </w:rPr>
            </w:pPr>
            <w:r w:rsidRPr="00916D8D">
              <w:rPr>
                <w:rFonts w:ascii="Century Gothic" w:eastAsia="Times New Roman" w:hAnsi="Century Gothic"/>
                <w:color w:val="000000"/>
                <w:sz w:val="18"/>
              </w:rPr>
              <w:t xml:space="preserve">Other contributing factors  </w:t>
            </w:r>
          </w:p>
        </w:tc>
        <w:tc>
          <w:tcPr>
            <w:tcW w:w="7200" w:type="dxa"/>
            <w:shd w:val="clear" w:color="auto" w:fill="FFFFFF" w:themeFill="background1"/>
            <w:tcMar>
              <w:top w:w="72" w:type="dxa"/>
              <w:bottom w:w="72" w:type="dxa"/>
            </w:tcMar>
            <w:vAlign w:val="center"/>
          </w:tcPr>
          <w:p w14:paraId="399D2EF3" w14:textId="77777777" w:rsidR="0073360E" w:rsidRPr="00965869" w:rsidRDefault="0073360E" w:rsidP="00900E4A">
            <w:pPr>
              <w:rPr>
                <w:sz w:val="20"/>
                <w:szCs w:val="20"/>
              </w:rPr>
            </w:pPr>
            <w:r w:rsidRPr="00965869">
              <w:rPr>
                <w:rStyle w:val="Strong"/>
                <w:rFonts w:eastAsia="Times New Roman" w:cstheme="minorHAnsi"/>
                <w:b w:val="0"/>
                <w:color w:val="000000"/>
                <w:sz w:val="20"/>
                <w:szCs w:val="20"/>
              </w:rPr>
              <w:t>Data:</w:t>
            </w:r>
            <w:r w:rsidRPr="00965869">
              <w:rPr>
                <w:rStyle w:val="Strong"/>
                <w:rFonts w:cstheme="minorHAnsi"/>
                <w:sz w:val="20"/>
                <w:szCs w:val="20"/>
              </w:rPr>
              <w:t xml:space="preserve"> </w:t>
            </w:r>
            <w:r w:rsidRPr="00965869">
              <w:rPr>
                <w:sz w:val="20"/>
                <w:szCs w:val="20"/>
              </w:rPr>
              <w:t xml:space="preserve">State and local agencies rely on data to drive program implementation, policy decisions, and </w:t>
            </w:r>
            <w:r w:rsidR="00023FA9">
              <w:rPr>
                <w:sz w:val="20"/>
                <w:szCs w:val="20"/>
              </w:rPr>
              <w:t xml:space="preserve">capacity building initiatives. </w:t>
            </w:r>
            <w:r w:rsidRPr="00965869">
              <w:rPr>
                <w:sz w:val="20"/>
                <w:szCs w:val="20"/>
              </w:rPr>
              <w:t>These data sources tell us:</w:t>
            </w:r>
          </w:p>
          <w:p w14:paraId="5E1EF5D8" w14:textId="77777777" w:rsidR="0073360E" w:rsidRPr="00965869" w:rsidRDefault="0073360E" w:rsidP="0073360E">
            <w:pPr>
              <w:pStyle w:val="ListParagraph"/>
              <w:numPr>
                <w:ilvl w:val="0"/>
                <w:numId w:val="23"/>
              </w:numPr>
              <w:rPr>
                <w:sz w:val="20"/>
                <w:szCs w:val="20"/>
              </w:rPr>
            </w:pPr>
            <w:r w:rsidRPr="00965869">
              <w:rPr>
                <w:sz w:val="20"/>
                <w:szCs w:val="20"/>
              </w:rPr>
              <w:t>Vital Statistics (2013-2017)</w:t>
            </w:r>
          </w:p>
          <w:p w14:paraId="64CA49F1" w14:textId="77777777" w:rsidR="0073360E" w:rsidRPr="00965869" w:rsidRDefault="0073360E" w:rsidP="0073360E">
            <w:pPr>
              <w:pStyle w:val="ListParagraph"/>
              <w:numPr>
                <w:ilvl w:val="1"/>
                <w:numId w:val="23"/>
              </w:numPr>
              <w:rPr>
                <w:sz w:val="20"/>
                <w:szCs w:val="20"/>
              </w:rPr>
            </w:pPr>
            <w:r w:rsidRPr="00965869">
              <w:rPr>
                <w:sz w:val="20"/>
                <w:szCs w:val="20"/>
              </w:rPr>
              <w:t>Suicide is the second leading cause of death for age groups 15-24 and 25-44; it’s the third leading cause for 5-14-year-old.</w:t>
            </w:r>
          </w:p>
          <w:p w14:paraId="3F8380A9" w14:textId="77777777" w:rsidR="0073360E" w:rsidRPr="00965869" w:rsidRDefault="0073360E" w:rsidP="0073360E">
            <w:pPr>
              <w:pStyle w:val="ListParagraph"/>
              <w:numPr>
                <w:ilvl w:val="1"/>
                <w:numId w:val="23"/>
              </w:numPr>
              <w:rPr>
                <w:sz w:val="20"/>
                <w:szCs w:val="20"/>
              </w:rPr>
            </w:pPr>
            <w:r w:rsidRPr="00965869">
              <w:rPr>
                <w:sz w:val="20"/>
                <w:szCs w:val="20"/>
              </w:rPr>
              <w:t>There is an increasing t</w:t>
            </w:r>
            <w:r w:rsidR="00023FA9">
              <w:rPr>
                <w:sz w:val="20"/>
                <w:szCs w:val="20"/>
              </w:rPr>
              <w:t>r</w:t>
            </w:r>
            <w:r w:rsidRPr="00965869">
              <w:rPr>
                <w:sz w:val="20"/>
                <w:szCs w:val="20"/>
              </w:rPr>
              <w:t>end over the last five years.</w:t>
            </w:r>
          </w:p>
          <w:p w14:paraId="32EBB2A1" w14:textId="77777777" w:rsidR="0073360E" w:rsidRPr="00965869" w:rsidRDefault="0073360E" w:rsidP="0073360E">
            <w:pPr>
              <w:pStyle w:val="ListParagraph"/>
              <w:numPr>
                <w:ilvl w:val="1"/>
                <w:numId w:val="23"/>
              </w:numPr>
              <w:rPr>
                <w:sz w:val="20"/>
                <w:szCs w:val="20"/>
              </w:rPr>
            </w:pPr>
            <w:r w:rsidRPr="00965869">
              <w:rPr>
                <w:sz w:val="20"/>
                <w:szCs w:val="20"/>
              </w:rPr>
              <w:t>5.7% of all suicides are individuals less than 18 years old.</w:t>
            </w:r>
          </w:p>
          <w:p w14:paraId="17309F29" w14:textId="77777777" w:rsidR="0073360E" w:rsidRPr="00965869" w:rsidRDefault="0073360E" w:rsidP="0073360E">
            <w:pPr>
              <w:pStyle w:val="ListParagraph"/>
              <w:numPr>
                <w:ilvl w:val="0"/>
                <w:numId w:val="23"/>
              </w:numPr>
              <w:rPr>
                <w:sz w:val="20"/>
                <w:szCs w:val="20"/>
              </w:rPr>
            </w:pPr>
            <w:r w:rsidRPr="00965869">
              <w:rPr>
                <w:sz w:val="20"/>
                <w:szCs w:val="20"/>
              </w:rPr>
              <w:t>Youth Behavioral Risk Survey (YBRS) (2017, males and females)</w:t>
            </w:r>
          </w:p>
          <w:p w14:paraId="3F56A51C" w14:textId="77777777" w:rsidR="0073360E" w:rsidRPr="00965869" w:rsidRDefault="0073360E" w:rsidP="0073360E">
            <w:pPr>
              <w:pStyle w:val="ListParagraph"/>
              <w:numPr>
                <w:ilvl w:val="1"/>
                <w:numId w:val="23"/>
              </w:numPr>
              <w:rPr>
                <w:sz w:val="20"/>
                <w:szCs w:val="20"/>
              </w:rPr>
            </w:pPr>
            <w:r w:rsidRPr="00965869">
              <w:rPr>
                <w:sz w:val="20"/>
                <w:szCs w:val="20"/>
              </w:rPr>
              <w:t>15.6% seriously considered suicide</w:t>
            </w:r>
          </w:p>
          <w:p w14:paraId="7A090C5E" w14:textId="77777777" w:rsidR="0073360E" w:rsidRPr="00965869" w:rsidRDefault="0073360E" w:rsidP="0073360E">
            <w:pPr>
              <w:pStyle w:val="ListParagraph"/>
              <w:numPr>
                <w:ilvl w:val="1"/>
                <w:numId w:val="23"/>
              </w:numPr>
              <w:rPr>
                <w:sz w:val="20"/>
                <w:szCs w:val="20"/>
              </w:rPr>
            </w:pPr>
            <w:r w:rsidRPr="00965869">
              <w:rPr>
                <w:sz w:val="20"/>
                <w:szCs w:val="20"/>
              </w:rPr>
              <w:t>11.8% made a plan to attempt suicide</w:t>
            </w:r>
          </w:p>
          <w:p w14:paraId="482C7340" w14:textId="77777777" w:rsidR="0073360E" w:rsidRPr="00A329F7" w:rsidRDefault="0073360E" w:rsidP="0073360E">
            <w:pPr>
              <w:pStyle w:val="ListParagraph"/>
              <w:numPr>
                <w:ilvl w:val="1"/>
                <w:numId w:val="23"/>
              </w:numPr>
              <w:rPr>
                <w:color w:val="000000" w:themeColor="text1"/>
                <w:sz w:val="20"/>
                <w:szCs w:val="20"/>
              </w:rPr>
            </w:pPr>
            <w:r w:rsidRPr="00965869">
              <w:rPr>
                <w:sz w:val="20"/>
                <w:szCs w:val="20"/>
              </w:rPr>
              <w:t>7.1</w:t>
            </w:r>
            <w:r w:rsidRPr="00A329F7">
              <w:rPr>
                <w:color w:val="000000" w:themeColor="text1"/>
                <w:sz w:val="20"/>
                <w:szCs w:val="20"/>
              </w:rPr>
              <w:t>% attempted suicide</w:t>
            </w:r>
          </w:p>
          <w:p w14:paraId="6C4E36E3" w14:textId="77777777" w:rsidR="0073360E" w:rsidRPr="00A329F7" w:rsidRDefault="0073360E" w:rsidP="0073360E">
            <w:pPr>
              <w:pStyle w:val="ListParagraph"/>
              <w:numPr>
                <w:ilvl w:val="0"/>
                <w:numId w:val="23"/>
              </w:numPr>
              <w:rPr>
                <w:color w:val="000000" w:themeColor="text1"/>
                <w:sz w:val="20"/>
                <w:szCs w:val="20"/>
              </w:rPr>
            </w:pPr>
            <w:r w:rsidRPr="00A329F7">
              <w:rPr>
                <w:color w:val="000000" w:themeColor="text1"/>
                <w:sz w:val="20"/>
                <w:szCs w:val="20"/>
              </w:rPr>
              <w:lastRenderedPageBreak/>
              <w:t>Kansas Co</w:t>
            </w:r>
            <w:r w:rsidR="0036579B" w:rsidRPr="00A329F7">
              <w:rPr>
                <w:color w:val="000000" w:themeColor="text1"/>
                <w:sz w:val="20"/>
                <w:szCs w:val="20"/>
              </w:rPr>
              <w:t>mmunities That Care (KCTC) (2019</w:t>
            </w:r>
            <w:r w:rsidRPr="00A329F7">
              <w:rPr>
                <w:color w:val="000000" w:themeColor="text1"/>
                <w:sz w:val="20"/>
                <w:szCs w:val="20"/>
              </w:rPr>
              <w:t>; 6</w:t>
            </w:r>
            <w:r w:rsidRPr="00A329F7">
              <w:rPr>
                <w:color w:val="000000" w:themeColor="text1"/>
                <w:sz w:val="20"/>
                <w:szCs w:val="20"/>
                <w:vertAlign w:val="superscript"/>
              </w:rPr>
              <w:t>th</w:t>
            </w:r>
            <w:r w:rsidRPr="00A329F7">
              <w:rPr>
                <w:color w:val="000000" w:themeColor="text1"/>
                <w:sz w:val="20"/>
                <w:szCs w:val="20"/>
              </w:rPr>
              <w:t>, 8</w:t>
            </w:r>
            <w:r w:rsidRPr="00A329F7">
              <w:rPr>
                <w:color w:val="000000" w:themeColor="text1"/>
                <w:sz w:val="20"/>
                <w:szCs w:val="20"/>
                <w:vertAlign w:val="superscript"/>
              </w:rPr>
              <w:t>th</w:t>
            </w:r>
            <w:r w:rsidRPr="00A329F7">
              <w:rPr>
                <w:color w:val="000000" w:themeColor="text1"/>
                <w:sz w:val="20"/>
                <w:szCs w:val="20"/>
              </w:rPr>
              <w:t>, 10</w:t>
            </w:r>
            <w:r w:rsidRPr="00A329F7">
              <w:rPr>
                <w:color w:val="000000" w:themeColor="text1"/>
                <w:sz w:val="20"/>
                <w:szCs w:val="20"/>
                <w:vertAlign w:val="superscript"/>
              </w:rPr>
              <w:t>th</w:t>
            </w:r>
            <w:r w:rsidRPr="00A329F7">
              <w:rPr>
                <w:color w:val="000000" w:themeColor="text1"/>
                <w:sz w:val="20"/>
                <w:szCs w:val="20"/>
              </w:rPr>
              <w:t>, and 12</w:t>
            </w:r>
            <w:r w:rsidRPr="00A329F7">
              <w:rPr>
                <w:color w:val="000000" w:themeColor="text1"/>
                <w:sz w:val="20"/>
                <w:szCs w:val="20"/>
                <w:vertAlign w:val="superscript"/>
              </w:rPr>
              <w:t>th</w:t>
            </w:r>
            <w:r w:rsidRPr="00A329F7">
              <w:rPr>
                <w:color w:val="000000" w:themeColor="text1"/>
                <w:sz w:val="20"/>
                <w:szCs w:val="20"/>
              </w:rPr>
              <w:t xml:space="preserve"> grades)</w:t>
            </w:r>
          </w:p>
          <w:p w14:paraId="0F9C9E1A" w14:textId="77777777" w:rsidR="0073360E" w:rsidRPr="00A329F7" w:rsidRDefault="0036579B" w:rsidP="0073360E">
            <w:pPr>
              <w:pStyle w:val="ListParagraph"/>
              <w:numPr>
                <w:ilvl w:val="1"/>
                <w:numId w:val="23"/>
              </w:numPr>
              <w:rPr>
                <w:color w:val="000000" w:themeColor="text1"/>
                <w:sz w:val="20"/>
                <w:szCs w:val="20"/>
              </w:rPr>
            </w:pPr>
            <w:r w:rsidRPr="00A329F7">
              <w:rPr>
                <w:color w:val="000000" w:themeColor="text1"/>
                <w:sz w:val="20"/>
                <w:szCs w:val="20"/>
              </w:rPr>
              <w:t>18.7</w:t>
            </w:r>
            <w:r w:rsidR="0073360E" w:rsidRPr="00A329F7">
              <w:rPr>
                <w:color w:val="000000" w:themeColor="text1"/>
                <w:sz w:val="20"/>
                <w:szCs w:val="20"/>
              </w:rPr>
              <w:t>% of students reported thoughts of suicide</w:t>
            </w:r>
          </w:p>
          <w:p w14:paraId="0669F3D6" w14:textId="77777777" w:rsidR="0073360E" w:rsidRPr="00A329F7" w:rsidRDefault="0036579B" w:rsidP="0073360E">
            <w:pPr>
              <w:pStyle w:val="ListParagraph"/>
              <w:numPr>
                <w:ilvl w:val="1"/>
                <w:numId w:val="23"/>
              </w:numPr>
              <w:rPr>
                <w:color w:val="000000" w:themeColor="text1"/>
                <w:sz w:val="20"/>
                <w:szCs w:val="20"/>
              </w:rPr>
            </w:pPr>
            <w:r w:rsidRPr="00A329F7">
              <w:rPr>
                <w:color w:val="000000" w:themeColor="text1"/>
                <w:sz w:val="20"/>
                <w:szCs w:val="20"/>
              </w:rPr>
              <w:t>10.7</w:t>
            </w:r>
            <w:r w:rsidR="0073360E" w:rsidRPr="00A329F7">
              <w:rPr>
                <w:color w:val="000000" w:themeColor="text1"/>
                <w:sz w:val="20"/>
                <w:szCs w:val="20"/>
              </w:rPr>
              <w:t>% made a plan to attempt suicide</w:t>
            </w:r>
          </w:p>
          <w:p w14:paraId="29BC088C" w14:textId="77777777" w:rsidR="0073360E" w:rsidRPr="00965869" w:rsidRDefault="0036579B" w:rsidP="0073360E">
            <w:pPr>
              <w:pStyle w:val="ListParagraph"/>
              <w:numPr>
                <w:ilvl w:val="1"/>
                <w:numId w:val="23"/>
              </w:numPr>
              <w:rPr>
                <w:sz w:val="20"/>
                <w:szCs w:val="20"/>
              </w:rPr>
            </w:pPr>
            <w:r w:rsidRPr="00A329F7">
              <w:rPr>
                <w:color w:val="000000" w:themeColor="text1"/>
                <w:sz w:val="20"/>
                <w:szCs w:val="20"/>
              </w:rPr>
              <w:t>4.3</w:t>
            </w:r>
            <w:r w:rsidR="0073360E" w:rsidRPr="00A329F7">
              <w:rPr>
                <w:color w:val="000000" w:themeColor="text1"/>
                <w:sz w:val="20"/>
                <w:szCs w:val="20"/>
              </w:rPr>
              <w:t xml:space="preserve">% attempted </w:t>
            </w:r>
            <w:r w:rsidR="0073360E" w:rsidRPr="00965869">
              <w:rPr>
                <w:sz w:val="20"/>
                <w:szCs w:val="20"/>
              </w:rPr>
              <w:t>suicide</w:t>
            </w:r>
          </w:p>
          <w:p w14:paraId="2DA0B85B" w14:textId="77777777" w:rsidR="00023FA9" w:rsidRPr="00023FA9" w:rsidRDefault="00023FA9" w:rsidP="00023FA9">
            <w:pPr>
              <w:pStyle w:val="ListParagraph"/>
              <w:numPr>
                <w:ilvl w:val="0"/>
                <w:numId w:val="25"/>
              </w:numPr>
              <w:rPr>
                <w:sz w:val="20"/>
                <w:szCs w:val="20"/>
              </w:rPr>
            </w:pPr>
            <w:r w:rsidRPr="00023FA9">
              <w:rPr>
                <w:sz w:val="20"/>
                <w:szCs w:val="20"/>
              </w:rPr>
              <w:t>KS Violent Death Reporting System (KVDRS) (2015)</w:t>
            </w:r>
          </w:p>
          <w:p w14:paraId="09CD3834" w14:textId="77777777" w:rsidR="00023FA9" w:rsidRPr="00656F73" w:rsidRDefault="00023FA9" w:rsidP="00023FA9">
            <w:pPr>
              <w:pStyle w:val="ListParagraph"/>
              <w:numPr>
                <w:ilvl w:val="1"/>
                <w:numId w:val="20"/>
              </w:numPr>
              <w:rPr>
                <w:sz w:val="20"/>
                <w:szCs w:val="20"/>
              </w:rPr>
            </w:pPr>
            <w:r w:rsidRPr="00656F73">
              <w:rPr>
                <w:sz w:val="20"/>
                <w:szCs w:val="20"/>
              </w:rPr>
              <w:t xml:space="preserve">Suicide made up 74% of all violent deaths (480/645) </w:t>
            </w:r>
          </w:p>
          <w:p w14:paraId="20F1DEC3" w14:textId="77777777" w:rsidR="00023FA9" w:rsidRPr="00656F73" w:rsidRDefault="00023FA9" w:rsidP="00023FA9">
            <w:pPr>
              <w:pStyle w:val="ListParagraph"/>
              <w:numPr>
                <w:ilvl w:val="2"/>
                <w:numId w:val="20"/>
              </w:numPr>
              <w:rPr>
                <w:sz w:val="20"/>
                <w:szCs w:val="20"/>
              </w:rPr>
            </w:pPr>
            <w:r w:rsidRPr="00656F73">
              <w:rPr>
                <w:sz w:val="20"/>
                <w:szCs w:val="20"/>
              </w:rPr>
              <w:t>97% 18 years and older</w:t>
            </w:r>
          </w:p>
          <w:p w14:paraId="79FB9755" w14:textId="77777777" w:rsidR="00023FA9" w:rsidRPr="00656F73" w:rsidRDefault="00023FA9" w:rsidP="00023FA9">
            <w:pPr>
              <w:pStyle w:val="ListParagraph"/>
              <w:numPr>
                <w:ilvl w:val="2"/>
                <w:numId w:val="20"/>
              </w:numPr>
              <w:rPr>
                <w:sz w:val="20"/>
                <w:szCs w:val="20"/>
              </w:rPr>
            </w:pPr>
            <w:r w:rsidRPr="00656F73">
              <w:rPr>
                <w:sz w:val="20"/>
                <w:szCs w:val="20"/>
              </w:rPr>
              <w:t>3% 10-17 years</w:t>
            </w:r>
          </w:p>
          <w:p w14:paraId="43E9966F" w14:textId="77777777" w:rsidR="00023FA9" w:rsidRPr="00656F73" w:rsidRDefault="00023FA9" w:rsidP="00023FA9">
            <w:pPr>
              <w:pStyle w:val="ListParagraph"/>
              <w:numPr>
                <w:ilvl w:val="0"/>
                <w:numId w:val="21"/>
              </w:numPr>
              <w:ind w:left="1440"/>
              <w:rPr>
                <w:sz w:val="20"/>
                <w:szCs w:val="20"/>
              </w:rPr>
            </w:pPr>
            <w:r w:rsidRPr="00656F73">
              <w:rPr>
                <w:sz w:val="20"/>
                <w:szCs w:val="20"/>
              </w:rPr>
              <w:t>Total deaths due to violence for youth 10-17 years = 22; 73% due to suicide (rate = 5.01/100,000)</w:t>
            </w:r>
          </w:p>
          <w:p w14:paraId="733CF238" w14:textId="77777777" w:rsidR="0073360E" w:rsidRPr="00965869" w:rsidRDefault="0073360E" w:rsidP="0073360E">
            <w:pPr>
              <w:pStyle w:val="ListParagraph"/>
              <w:numPr>
                <w:ilvl w:val="0"/>
                <w:numId w:val="23"/>
              </w:numPr>
              <w:rPr>
                <w:sz w:val="20"/>
                <w:szCs w:val="20"/>
              </w:rPr>
            </w:pPr>
            <w:r w:rsidRPr="00965869">
              <w:rPr>
                <w:sz w:val="20"/>
                <w:szCs w:val="20"/>
              </w:rPr>
              <w:t>Kansas Attorney General’s Office, Child Death Review Board (2018 Annual Report, 2016 Data)</w:t>
            </w:r>
          </w:p>
          <w:p w14:paraId="04253CA4" w14:textId="77777777" w:rsidR="0073360E" w:rsidRPr="00965869" w:rsidRDefault="0073360E" w:rsidP="0073360E">
            <w:pPr>
              <w:pStyle w:val="ListParagraph"/>
              <w:numPr>
                <w:ilvl w:val="1"/>
                <w:numId w:val="23"/>
              </w:numPr>
              <w:rPr>
                <w:sz w:val="20"/>
                <w:szCs w:val="20"/>
              </w:rPr>
            </w:pPr>
            <w:r w:rsidRPr="00965869">
              <w:rPr>
                <w:sz w:val="20"/>
                <w:szCs w:val="20"/>
              </w:rPr>
              <w:t>35% of child/adolescent suicides in 2016 were age 14 or younger</w:t>
            </w:r>
          </w:p>
          <w:p w14:paraId="23942171" w14:textId="77777777" w:rsidR="0073360E" w:rsidRPr="00965869" w:rsidRDefault="0073360E" w:rsidP="0073360E">
            <w:pPr>
              <w:pStyle w:val="ListParagraph"/>
              <w:numPr>
                <w:ilvl w:val="1"/>
                <w:numId w:val="23"/>
              </w:numPr>
              <w:rPr>
                <w:sz w:val="20"/>
                <w:szCs w:val="20"/>
              </w:rPr>
            </w:pPr>
            <w:r w:rsidRPr="00965869">
              <w:rPr>
                <w:sz w:val="20"/>
                <w:szCs w:val="20"/>
              </w:rPr>
              <w:t>40% of child/adolescent suicides in 2016 previously received or were receiving mental health services at the time of their death</w:t>
            </w:r>
          </w:p>
          <w:p w14:paraId="04D3B8EE" w14:textId="77777777" w:rsidR="0073360E" w:rsidRPr="00023FA9" w:rsidRDefault="0073360E" w:rsidP="00900E4A">
            <w:pPr>
              <w:pStyle w:val="ListParagraph"/>
              <w:numPr>
                <w:ilvl w:val="1"/>
                <w:numId w:val="23"/>
              </w:numPr>
              <w:rPr>
                <w:sz w:val="20"/>
                <w:szCs w:val="20"/>
              </w:rPr>
            </w:pPr>
            <w:r w:rsidRPr="00965869">
              <w:rPr>
                <w:sz w:val="20"/>
                <w:szCs w:val="20"/>
              </w:rPr>
              <w:t>35% of child/adolescent suicides in 2016 had a history of substance abuse</w:t>
            </w:r>
          </w:p>
          <w:p w14:paraId="496A43E0" w14:textId="77777777" w:rsidR="0073360E" w:rsidRPr="00965869" w:rsidRDefault="0073360E" w:rsidP="00900E4A">
            <w:pPr>
              <w:rPr>
                <w:rStyle w:val="Strong"/>
                <w:rFonts w:eastAsia="Times New Roman" w:cstheme="minorHAnsi"/>
                <w:b w:val="0"/>
                <w:color w:val="000000"/>
                <w:sz w:val="20"/>
                <w:szCs w:val="20"/>
              </w:rPr>
            </w:pPr>
          </w:p>
          <w:p w14:paraId="0CBAB1CF" w14:textId="77777777" w:rsidR="00871219" w:rsidRDefault="00871219" w:rsidP="00900E4A">
            <w:pPr>
              <w:rPr>
                <w:rStyle w:val="Strong"/>
                <w:rFonts w:eastAsia="Times New Roman" w:cstheme="minorHAnsi"/>
                <w:b w:val="0"/>
                <w:color w:val="FF0000"/>
                <w:sz w:val="20"/>
                <w:szCs w:val="20"/>
              </w:rPr>
            </w:pPr>
            <w:r>
              <w:rPr>
                <w:rStyle w:val="Strong"/>
                <w:rFonts w:eastAsia="Times New Roman" w:cstheme="minorHAnsi"/>
                <w:b w:val="0"/>
                <w:sz w:val="20"/>
                <w:szCs w:val="20"/>
              </w:rPr>
              <w:t xml:space="preserve">NOTE: Refer to the </w:t>
            </w:r>
            <w:r w:rsidRPr="00A329F7">
              <w:rPr>
                <w:rStyle w:val="Strong"/>
                <w:rFonts w:eastAsia="Times New Roman" w:cstheme="minorHAnsi"/>
                <w:b w:val="0"/>
                <w:color w:val="000000" w:themeColor="text1"/>
                <w:sz w:val="20"/>
                <w:szCs w:val="20"/>
              </w:rPr>
              <w:t>KCTC Graphic that shows that less than 1% of students who reported a suicide attempt did so without a plan. The vast majority had a plan – which means there is time to intervene. Prevention strategies can be employed.</w:t>
            </w:r>
          </w:p>
          <w:p w14:paraId="714405F9" w14:textId="7B2D16E2" w:rsidR="00871219" w:rsidRDefault="00871219" w:rsidP="00900E4A">
            <w:pPr>
              <w:rPr>
                <w:rStyle w:val="Strong"/>
                <w:rFonts w:eastAsia="Times New Roman" w:cstheme="minorHAnsi"/>
                <w:b w:val="0"/>
                <w:color w:val="FF0000"/>
                <w:sz w:val="20"/>
                <w:szCs w:val="20"/>
              </w:rPr>
            </w:pPr>
          </w:p>
          <w:p w14:paraId="0BD3CB39" w14:textId="77777777" w:rsidR="00A329F7" w:rsidRDefault="00A329F7" w:rsidP="00900E4A">
            <w:pPr>
              <w:rPr>
                <w:rStyle w:val="Strong"/>
                <w:rFonts w:eastAsia="Times New Roman" w:cstheme="minorHAnsi"/>
                <w:b w:val="0"/>
                <w:color w:val="FF0000"/>
                <w:sz w:val="20"/>
                <w:szCs w:val="20"/>
              </w:rPr>
            </w:pPr>
          </w:p>
          <w:p w14:paraId="59A60F00" w14:textId="699D1A38" w:rsidR="0073360E" w:rsidRPr="00A329F7" w:rsidRDefault="0073360E" w:rsidP="00900E4A">
            <w:pPr>
              <w:rPr>
                <w:rStyle w:val="Strong"/>
                <w:rFonts w:eastAsia="Times New Roman" w:cstheme="minorHAnsi"/>
                <w:bCs w:val="0"/>
                <w:color w:val="000000"/>
                <w:sz w:val="20"/>
                <w:szCs w:val="20"/>
              </w:rPr>
            </w:pPr>
            <w:r w:rsidRPr="00A329F7">
              <w:rPr>
                <w:rStyle w:val="Strong"/>
                <w:rFonts w:eastAsia="Times New Roman" w:cstheme="minorHAnsi"/>
                <w:bCs w:val="0"/>
                <w:color w:val="000000"/>
                <w:sz w:val="20"/>
                <w:szCs w:val="20"/>
              </w:rPr>
              <w:t>Behaviors to Target:</w:t>
            </w:r>
          </w:p>
          <w:p w14:paraId="4B03C636" w14:textId="77777777" w:rsidR="00A329F7" w:rsidRPr="00A329F7" w:rsidRDefault="00A329F7" w:rsidP="00900E4A">
            <w:pPr>
              <w:rPr>
                <w:rStyle w:val="Strong"/>
                <w:rFonts w:eastAsia="Times New Roman" w:cstheme="minorHAnsi"/>
                <w:bCs w:val="0"/>
                <w:color w:val="000000"/>
                <w:sz w:val="20"/>
                <w:szCs w:val="20"/>
              </w:rPr>
            </w:pPr>
          </w:p>
          <w:p w14:paraId="529A626B" w14:textId="244CBADE" w:rsidR="0073360E" w:rsidRPr="00A329F7" w:rsidRDefault="0073360E" w:rsidP="00900E4A">
            <w:pPr>
              <w:rPr>
                <w:rStyle w:val="Strong"/>
                <w:rFonts w:eastAsia="Times New Roman" w:cstheme="minorHAnsi"/>
                <w:bCs w:val="0"/>
                <w:color w:val="000000"/>
                <w:sz w:val="20"/>
                <w:szCs w:val="20"/>
              </w:rPr>
            </w:pPr>
          </w:p>
          <w:p w14:paraId="2EA98A33" w14:textId="77777777" w:rsidR="00A329F7" w:rsidRPr="00A329F7" w:rsidRDefault="00A329F7" w:rsidP="00900E4A">
            <w:pPr>
              <w:rPr>
                <w:rStyle w:val="Strong"/>
                <w:rFonts w:eastAsia="Times New Roman" w:cstheme="minorHAnsi"/>
                <w:bCs w:val="0"/>
                <w:color w:val="000000"/>
                <w:sz w:val="20"/>
                <w:szCs w:val="20"/>
              </w:rPr>
            </w:pPr>
          </w:p>
          <w:p w14:paraId="3255BD32" w14:textId="77A0F84F" w:rsidR="0073360E" w:rsidRPr="00A329F7" w:rsidRDefault="0073360E" w:rsidP="00900E4A">
            <w:pPr>
              <w:rPr>
                <w:rStyle w:val="Strong"/>
                <w:rFonts w:eastAsia="Times New Roman" w:cstheme="minorHAnsi"/>
                <w:bCs w:val="0"/>
                <w:color w:val="000000"/>
                <w:sz w:val="20"/>
                <w:szCs w:val="20"/>
              </w:rPr>
            </w:pPr>
            <w:r w:rsidRPr="00A329F7">
              <w:rPr>
                <w:rStyle w:val="Strong"/>
                <w:rFonts w:eastAsia="Times New Roman" w:cstheme="minorHAnsi"/>
                <w:bCs w:val="0"/>
                <w:color w:val="000000"/>
                <w:sz w:val="20"/>
                <w:szCs w:val="20"/>
              </w:rPr>
              <w:t>System and/or Policy Issues:</w:t>
            </w:r>
            <w:r w:rsidR="007939EC" w:rsidRPr="00A329F7">
              <w:rPr>
                <w:rStyle w:val="Strong"/>
                <w:rFonts w:eastAsia="Times New Roman" w:cstheme="minorHAnsi"/>
                <w:bCs w:val="0"/>
                <w:color w:val="000000"/>
                <w:sz w:val="20"/>
                <w:szCs w:val="20"/>
              </w:rPr>
              <w:t xml:space="preserve"> </w:t>
            </w:r>
          </w:p>
          <w:p w14:paraId="7562D5A6" w14:textId="6AD7E6B9" w:rsidR="00A329F7" w:rsidRPr="00A329F7" w:rsidRDefault="00A329F7" w:rsidP="00900E4A">
            <w:pPr>
              <w:rPr>
                <w:rStyle w:val="Strong"/>
                <w:rFonts w:eastAsia="Times New Roman" w:cstheme="minorHAnsi"/>
                <w:bCs w:val="0"/>
                <w:color w:val="000000"/>
                <w:sz w:val="20"/>
                <w:szCs w:val="20"/>
              </w:rPr>
            </w:pPr>
          </w:p>
          <w:p w14:paraId="77BB30A1" w14:textId="39279F2B" w:rsidR="00A329F7" w:rsidRPr="00A329F7" w:rsidRDefault="00A329F7" w:rsidP="00900E4A">
            <w:pPr>
              <w:rPr>
                <w:rStyle w:val="Strong"/>
                <w:rFonts w:eastAsia="Times New Roman" w:cstheme="minorHAnsi"/>
                <w:bCs w:val="0"/>
                <w:color w:val="000000"/>
                <w:sz w:val="20"/>
                <w:szCs w:val="20"/>
              </w:rPr>
            </w:pPr>
          </w:p>
          <w:p w14:paraId="401209E4" w14:textId="77777777" w:rsidR="00A329F7" w:rsidRPr="00A329F7" w:rsidRDefault="00A329F7" w:rsidP="00900E4A">
            <w:pPr>
              <w:rPr>
                <w:rStyle w:val="Strong"/>
                <w:rFonts w:eastAsia="Times New Roman" w:cstheme="minorHAnsi"/>
                <w:bCs w:val="0"/>
                <w:color w:val="000000"/>
                <w:sz w:val="20"/>
                <w:szCs w:val="20"/>
              </w:rPr>
            </w:pPr>
          </w:p>
          <w:p w14:paraId="4889D57F" w14:textId="6BAB3152" w:rsidR="0073360E" w:rsidRPr="00A329F7" w:rsidRDefault="0073360E" w:rsidP="00900E4A">
            <w:pPr>
              <w:rPr>
                <w:rStyle w:val="Strong"/>
                <w:rFonts w:eastAsia="Times New Roman" w:cstheme="minorHAnsi"/>
                <w:bCs w:val="0"/>
                <w:color w:val="000000"/>
                <w:sz w:val="20"/>
                <w:szCs w:val="20"/>
              </w:rPr>
            </w:pPr>
            <w:r w:rsidRPr="00A329F7">
              <w:rPr>
                <w:rStyle w:val="Strong"/>
                <w:rFonts w:eastAsia="Times New Roman" w:cstheme="minorHAnsi"/>
                <w:bCs w:val="0"/>
                <w:color w:val="000000"/>
                <w:sz w:val="20"/>
                <w:szCs w:val="20"/>
              </w:rPr>
              <w:t>Barriers to Address:</w:t>
            </w:r>
            <w:r w:rsidR="007939EC" w:rsidRPr="00A329F7">
              <w:rPr>
                <w:rStyle w:val="Strong"/>
                <w:rFonts w:eastAsia="Times New Roman" w:cstheme="minorHAnsi"/>
                <w:bCs w:val="0"/>
                <w:color w:val="000000"/>
                <w:sz w:val="20"/>
                <w:szCs w:val="20"/>
              </w:rPr>
              <w:t xml:space="preserve"> </w:t>
            </w:r>
          </w:p>
          <w:p w14:paraId="219005E9" w14:textId="63458034" w:rsidR="00A329F7" w:rsidRPr="00A329F7" w:rsidRDefault="00A329F7" w:rsidP="00900E4A">
            <w:pPr>
              <w:rPr>
                <w:rStyle w:val="Strong"/>
                <w:rFonts w:eastAsia="Times New Roman" w:cstheme="minorHAnsi"/>
                <w:bCs w:val="0"/>
                <w:color w:val="000000"/>
                <w:sz w:val="20"/>
                <w:szCs w:val="20"/>
              </w:rPr>
            </w:pPr>
          </w:p>
          <w:p w14:paraId="7C54447F" w14:textId="0F123E6E" w:rsidR="00A329F7" w:rsidRPr="00A329F7" w:rsidRDefault="00A329F7" w:rsidP="00900E4A">
            <w:pPr>
              <w:rPr>
                <w:rStyle w:val="Strong"/>
                <w:rFonts w:eastAsia="Times New Roman" w:cstheme="minorHAnsi"/>
                <w:bCs w:val="0"/>
                <w:color w:val="000000"/>
                <w:sz w:val="20"/>
                <w:szCs w:val="20"/>
              </w:rPr>
            </w:pPr>
          </w:p>
          <w:p w14:paraId="49F1CA31" w14:textId="77777777" w:rsidR="00A329F7" w:rsidRPr="00A329F7" w:rsidRDefault="00A329F7" w:rsidP="00900E4A">
            <w:pPr>
              <w:rPr>
                <w:rStyle w:val="Strong"/>
                <w:rFonts w:eastAsia="Times New Roman" w:cstheme="minorHAnsi"/>
                <w:bCs w:val="0"/>
                <w:color w:val="000000"/>
                <w:sz w:val="20"/>
                <w:szCs w:val="20"/>
              </w:rPr>
            </w:pPr>
          </w:p>
          <w:p w14:paraId="77BEB11A" w14:textId="77777777" w:rsidR="0073360E" w:rsidRPr="00A329F7" w:rsidRDefault="0073360E" w:rsidP="00900E4A">
            <w:pPr>
              <w:rPr>
                <w:rStyle w:val="Strong"/>
                <w:rFonts w:eastAsia="Times New Roman" w:cstheme="minorHAnsi"/>
                <w:bCs w:val="0"/>
                <w:color w:val="000000"/>
                <w:sz w:val="20"/>
                <w:szCs w:val="20"/>
              </w:rPr>
            </w:pPr>
            <w:r w:rsidRPr="00A329F7">
              <w:rPr>
                <w:rStyle w:val="Strong"/>
                <w:rFonts w:eastAsia="Times New Roman" w:cstheme="minorHAnsi"/>
                <w:bCs w:val="0"/>
                <w:color w:val="000000"/>
                <w:sz w:val="20"/>
                <w:szCs w:val="20"/>
              </w:rPr>
              <w:t xml:space="preserve">Other Factors to Consider: </w:t>
            </w:r>
          </w:p>
          <w:p w14:paraId="4627D47D" w14:textId="77777777" w:rsidR="00A329F7" w:rsidRDefault="00A329F7" w:rsidP="00900E4A">
            <w:pPr>
              <w:rPr>
                <w:rStyle w:val="Strong"/>
                <w:rFonts w:eastAsia="Times New Roman" w:cstheme="minorHAnsi"/>
                <w:b w:val="0"/>
                <w:color w:val="000000"/>
                <w:sz w:val="20"/>
                <w:szCs w:val="20"/>
              </w:rPr>
            </w:pPr>
          </w:p>
          <w:p w14:paraId="4F9F109A" w14:textId="77777777" w:rsidR="00A329F7" w:rsidRDefault="00A329F7" w:rsidP="00900E4A">
            <w:pPr>
              <w:rPr>
                <w:rStyle w:val="Strong"/>
                <w:rFonts w:eastAsia="Times New Roman" w:cstheme="minorHAnsi"/>
                <w:b w:val="0"/>
                <w:color w:val="000000"/>
                <w:sz w:val="20"/>
                <w:szCs w:val="20"/>
              </w:rPr>
            </w:pPr>
          </w:p>
          <w:p w14:paraId="069AC967" w14:textId="77777777" w:rsidR="00A329F7" w:rsidRDefault="00A329F7" w:rsidP="00900E4A">
            <w:pPr>
              <w:rPr>
                <w:rStyle w:val="Strong"/>
                <w:rFonts w:eastAsia="Times New Roman" w:cstheme="minorHAnsi"/>
                <w:b w:val="0"/>
                <w:color w:val="000000"/>
                <w:sz w:val="20"/>
                <w:szCs w:val="20"/>
              </w:rPr>
            </w:pPr>
          </w:p>
          <w:p w14:paraId="6AD0411A" w14:textId="2AFEA8B4" w:rsidR="00A329F7" w:rsidRPr="00965869" w:rsidRDefault="00A329F7" w:rsidP="00900E4A">
            <w:pPr>
              <w:rPr>
                <w:rStyle w:val="Strong"/>
                <w:rFonts w:eastAsia="Times New Roman" w:cstheme="minorHAnsi"/>
                <w:b w:val="0"/>
                <w:color w:val="000000"/>
                <w:sz w:val="20"/>
                <w:szCs w:val="20"/>
              </w:rPr>
            </w:pPr>
          </w:p>
        </w:tc>
      </w:tr>
      <w:tr w:rsidR="0073360E" w:rsidRPr="00103AAC" w14:paraId="7C7422DB" w14:textId="77777777" w:rsidTr="00A329F7">
        <w:trPr>
          <w:trHeight w:val="935"/>
        </w:trPr>
        <w:tc>
          <w:tcPr>
            <w:tcW w:w="3690" w:type="dxa"/>
            <w:shd w:val="clear" w:color="auto" w:fill="E7E6E6" w:themeFill="background2"/>
            <w:tcMar>
              <w:top w:w="72" w:type="dxa"/>
              <w:left w:w="115" w:type="dxa"/>
              <w:bottom w:w="72" w:type="dxa"/>
              <w:right w:w="115" w:type="dxa"/>
            </w:tcMar>
            <w:vAlign w:val="center"/>
          </w:tcPr>
          <w:p w14:paraId="5336F07C" w14:textId="012182F6" w:rsidR="00E5088F" w:rsidRPr="004116EC" w:rsidRDefault="00E5088F" w:rsidP="004116EC">
            <w:pPr>
              <w:pStyle w:val="ListParagraph"/>
              <w:numPr>
                <w:ilvl w:val="0"/>
                <w:numId w:val="27"/>
              </w:numPr>
              <w:tabs>
                <w:tab w:val="left" w:pos="1086"/>
                <w:tab w:val="left" w:pos="1445"/>
              </w:tabs>
              <w:spacing w:before="120" w:line="247" w:lineRule="auto"/>
              <w:ind w:left="330"/>
              <w:rPr>
                <w:rFonts w:ascii="Century Gothic" w:hAnsi="Century Gothic"/>
                <w:sz w:val="20"/>
                <w:szCs w:val="20"/>
              </w:rPr>
            </w:pPr>
            <w:r w:rsidRPr="004116EC">
              <w:rPr>
                <w:rFonts w:ascii="Century Gothic" w:hAnsi="Century Gothic"/>
                <w:sz w:val="20"/>
                <w:szCs w:val="20"/>
              </w:rPr>
              <w:lastRenderedPageBreak/>
              <w:t xml:space="preserve">What are the “asks” from the audience? What changes/actions can make a difference? Specifically, how should we move forward with this “issue” area that needs to be advanced? </w:t>
            </w:r>
          </w:p>
          <w:p w14:paraId="7DB4A27B" w14:textId="77777777" w:rsidR="00E5088F" w:rsidRPr="00916D8D" w:rsidRDefault="00E5088F" w:rsidP="004116EC">
            <w:pPr>
              <w:tabs>
                <w:tab w:val="left" w:pos="1086"/>
                <w:tab w:val="left" w:pos="1445"/>
              </w:tabs>
              <w:spacing w:before="120" w:line="247" w:lineRule="auto"/>
              <w:ind w:left="330"/>
              <w:rPr>
                <w:rFonts w:ascii="Century Gothic" w:hAnsi="Century Gothic"/>
                <w:sz w:val="20"/>
                <w:szCs w:val="20"/>
              </w:rPr>
            </w:pPr>
            <w:r w:rsidRPr="00916D8D">
              <w:rPr>
                <w:rFonts w:ascii="Century Gothic" w:hAnsi="Century Gothic"/>
                <w:sz w:val="20"/>
                <w:szCs w:val="20"/>
              </w:rPr>
              <w:t xml:space="preserve">(Carry to </w:t>
            </w:r>
            <w:r>
              <w:rPr>
                <w:rFonts w:ascii="Century Gothic" w:hAnsi="Century Gothic"/>
                <w:sz w:val="20"/>
                <w:szCs w:val="20"/>
              </w:rPr>
              <w:t>action alert</w:t>
            </w:r>
            <w:r w:rsidRPr="00916D8D">
              <w:rPr>
                <w:rFonts w:ascii="Century Gothic" w:hAnsi="Century Gothic"/>
                <w:sz w:val="20"/>
                <w:szCs w:val="20"/>
              </w:rPr>
              <w:t xml:space="preserve"> worksheet.)</w:t>
            </w:r>
          </w:p>
          <w:p w14:paraId="3A2EE549" w14:textId="1D4C9085" w:rsidR="0073360E" w:rsidRPr="00E5088F" w:rsidRDefault="00E5088F" w:rsidP="004116EC">
            <w:pPr>
              <w:tabs>
                <w:tab w:val="left" w:pos="1086"/>
                <w:tab w:val="left" w:pos="1445"/>
              </w:tabs>
              <w:spacing w:before="120"/>
              <w:ind w:left="330"/>
              <w:rPr>
                <w:rFonts w:ascii="Century Gothic" w:hAnsi="Century Gothic"/>
                <w:sz w:val="16"/>
                <w:szCs w:val="20"/>
              </w:rPr>
            </w:pPr>
            <w:r w:rsidRPr="00916D8D">
              <w:rPr>
                <w:rFonts w:ascii="Century Gothic" w:hAnsi="Century Gothic"/>
                <w:sz w:val="16"/>
                <w:szCs w:val="20"/>
              </w:rPr>
              <w:t>NOTE: Break strategies/actions for change down by target population and provider or setting type</w:t>
            </w:r>
          </w:p>
        </w:tc>
        <w:tc>
          <w:tcPr>
            <w:tcW w:w="7200" w:type="dxa"/>
            <w:shd w:val="clear" w:color="auto" w:fill="FFFFFF" w:themeFill="background1"/>
            <w:tcMar>
              <w:top w:w="72" w:type="dxa"/>
              <w:bottom w:w="72" w:type="dxa"/>
            </w:tcMar>
            <w:vAlign w:val="center"/>
          </w:tcPr>
          <w:p w14:paraId="0C036ECA" w14:textId="77777777" w:rsidR="003137DC" w:rsidRDefault="003137DC" w:rsidP="00871219">
            <w:pPr>
              <w:rPr>
                <w:rStyle w:val="Strong"/>
                <w:rFonts w:eastAsia="Times New Roman" w:cstheme="minorHAnsi"/>
                <w:b w:val="0"/>
                <w:color w:val="000000"/>
                <w:sz w:val="20"/>
                <w:szCs w:val="20"/>
              </w:rPr>
            </w:pPr>
          </w:p>
          <w:p w14:paraId="66DCB8EC" w14:textId="77777777" w:rsidR="00F70590" w:rsidRDefault="00F70590" w:rsidP="00871219">
            <w:pPr>
              <w:rPr>
                <w:rStyle w:val="Strong"/>
                <w:rFonts w:eastAsia="Times New Roman" w:cstheme="minorHAnsi"/>
                <w:b w:val="0"/>
                <w:color w:val="000000"/>
                <w:sz w:val="20"/>
                <w:szCs w:val="20"/>
              </w:rPr>
            </w:pPr>
          </w:p>
          <w:p w14:paraId="27F75266" w14:textId="77777777" w:rsidR="00F70590" w:rsidRDefault="00F70590" w:rsidP="00871219">
            <w:pPr>
              <w:rPr>
                <w:rStyle w:val="Strong"/>
                <w:rFonts w:eastAsia="Times New Roman" w:cstheme="minorHAnsi"/>
                <w:b w:val="0"/>
                <w:color w:val="000000"/>
                <w:sz w:val="20"/>
                <w:szCs w:val="20"/>
              </w:rPr>
            </w:pPr>
          </w:p>
          <w:p w14:paraId="42E01BE8" w14:textId="77777777" w:rsidR="00F70590" w:rsidRDefault="00F70590" w:rsidP="00871219">
            <w:pPr>
              <w:rPr>
                <w:rStyle w:val="Strong"/>
                <w:rFonts w:eastAsia="Times New Roman" w:cstheme="minorHAnsi"/>
                <w:b w:val="0"/>
                <w:color w:val="000000"/>
                <w:sz w:val="20"/>
                <w:szCs w:val="20"/>
              </w:rPr>
            </w:pPr>
          </w:p>
          <w:p w14:paraId="25EFE45E" w14:textId="77777777" w:rsidR="00F70590" w:rsidRDefault="00F70590" w:rsidP="00871219">
            <w:pPr>
              <w:rPr>
                <w:rStyle w:val="Strong"/>
                <w:rFonts w:eastAsia="Times New Roman" w:cstheme="minorHAnsi"/>
                <w:b w:val="0"/>
                <w:color w:val="000000"/>
                <w:sz w:val="20"/>
                <w:szCs w:val="20"/>
              </w:rPr>
            </w:pPr>
          </w:p>
          <w:p w14:paraId="73EA152A" w14:textId="77777777" w:rsidR="00F70590" w:rsidRDefault="00F70590" w:rsidP="00871219">
            <w:pPr>
              <w:rPr>
                <w:rStyle w:val="Strong"/>
                <w:rFonts w:eastAsia="Times New Roman" w:cstheme="minorHAnsi"/>
                <w:b w:val="0"/>
                <w:color w:val="000000"/>
                <w:sz w:val="20"/>
                <w:szCs w:val="20"/>
              </w:rPr>
            </w:pPr>
          </w:p>
          <w:p w14:paraId="4E5D334D" w14:textId="77777777" w:rsidR="00F70590" w:rsidRDefault="00F70590" w:rsidP="00871219">
            <w:pPr>
              <w:rPr>
                <w:rStyle w:val="Strong"/>
                <w:rFonts w:eastAsia="Times New Roman" w:cstheme="minorHAnsi"/>
                <w:b w:val="0"/>
                <w:color w:val="000000"/>
                <w:sz w:val="20"/>
                <w:szCs w:val="20"/>
              </w:rPr>
            </w:pPr>
          </w:p>
          <w:p w14:paraId="7711E243" w14:textId="77777777" w:rsidR="00F70590" w:rsidRDefault="00F70590" w:rsidP="00871219">
            <w:pPr>
              <w:rPr>
                <w:rStyle w:val="Strong"/>
                <w:rFonts w:eastAsia="Times New Roman" w:cstheme="minorHAnsi"/>
                <w:b w:val="0"/>
                <w:color w:val="000000"/>
                <w:sz w:val="20"/>
                <w:szCs w:val="20"/>
              </w:rPr>
            </w:pPr>
          </w:p>
          <w:p w14:paraId="2C737F29" w14:textId="77777777" w:rsidR="00F70590" w:rsidRDefault="00F70590" w:rsidP="00871219">
            <w:pPr>
              <w:rPr>
                <w:rStyle w:val="Strong"/>
                <w:rFonts w:eastAsia="Times New Roman" w:cstheme="minorHAnsi"/>
                <w:b w:val="0"/>
                <w:color w:val="000000"/>
                <w:sz w:val="20"/>
                <w:szCs w:val="20"/>
              </w:rPr>
            </w:pPr>
          </w:p>
          <w:p w14:paraId="2AE80C81" w14:textId="77777777" w:rsidR="00F70590" w:rsidRDefault="00F70590" w:rsidP="00871219">
            <w:pPr>
              <w:rPr>
                <w:rStyle w:val="Strong"/>
                <w:rFonts w:eastAsia="Times New Roman" w:cstheme="minorHAnsi"/>
                <w:b w:val="0"/>
                <w:color w:val="000000"/>
                <w:sz w:val="20"/>
                <w:szCs w:val="20"/>
              </w:rPr>
            </w:pPr>
          </w:p>
          <w:p w14:paraId="2CBAC69D" w14:textId="77777777" w:rsidR="00F70590" w:rsidRDefault="00F70590" w:rsidP="00871219">
            <w:pPr>
              <w:rPr>
                <w:rStyle w:val="Strong"/>
                <w:rFonts w:eastAsia="Times New Roman" w:cstheme="minorHAnsi"/>
                <w:b w:val="0"/>
                <w:color w:val="000000"/>
                <w:sz w:val="20"/>
                <w:szCs w:val="20"/>
              </w:rPr>
            </w:pPr>
          </w:p>
          <w:p w14:paraId="5C8F31BE" w14:textId="2334695C" w:rsidR="00F70590" w:rsidRPr="003137DC" w:rsidRDefault="00F70590" w:rsidP="00871219">
            <w:pPr>
              <w:rPr>
                <w:rStyle w:val="Strong"/>
                <w:rFonts w:eastAsia="Times New Roman" w:cstheme="minorHAnsi"/>
                <w:b w:val="0"/>
                <w:color w:val="000000"/>
                <w:sz w:val="20"/>
                <w:szCs w:val="20"/>
              </w:rPr>
            </w:pPr>
          </w:p>
        </w:tc>
      </w:tr>
      <w:tr w:rsidR="0073360E" w:rsidRPr="00103AAC" w14:paraId="5F442A4D" w14:textId="77777777" w:rsidTr="00A329F7">
        <w:trPr>
          <w:trHeight w:val="935"/>
        </w:trPr>
        <w:tc>
          <w:tcPr>
            <w:tcW w:w="3690" w:type="dxa"/>
            <w:shd w:val="clear" w:color="auto" w:fill="E7E6E6" w:themeFill="background2"/>
            <w:tcMar>
              <w:top w:w="72" w:type="dxa"/>
              <w:left w:w="115" w:type="dxa"/>
              <w:bottom w:w="72" w:type="dxa"/>
              <w:right w:w="115" w:type="dxa"/>
            </w:tcMar>
            <w:vAlign w:val="center"/>
          </w:tcPr>
          <w:p w14:paraId="2A1AD501" w14:textId="43BF283D" w:rsidR="00984AEA" w:rsidRPr="004116EC" w:rsidRDefault="00984AEA" w:rsidP="004116EC">
            <w:pPr>
              <w:pStyle w:val="ListParagraph"/>
              <w:numPr>
                <w:ilvl w:val="0"/>
                <w:numId w:val="27"/>
              </w:numPr>
              <w:tabs>
                <w:tab w:val="left" w:pos="1086"/>
                <w:tab w:val="left" w:pos="1445"/>
              </w:tabs>
              <w:spacing w:before="120" w:line="244" w:lineRule="auto"/>
              <w:ind w:left="330"/>
              <w:rPr>
                <w:rFonts w:ascii="Century Gothic" w:hAnsi="Century Gothic"/>
                <w:sz w:val="20"/>
                <w:szCs w:val="20"/>
              </w:rPr>
            </w:pPr>
            <w:r w:rsidRPr="004116EC">
              <w:rPr>
                <w:rFonts w:ascii="Century Gothic" w:hAnsi="Century Gothic"/>
                <w:sz w:val="20"/>
                <w:szCs w:val="20"/>
              </w:rPr>
              <w:lastRenderedPageBreak/>
              <w:t xml:space="preserve">What key message(s) or resources (phone numbers, websites, etc.) need to be communicated or promoted? </w:t>
            </w:r>
          </w:p>
          <w:p w14:paraId="7D4EA711" w14:textId="375B0BD6" w:rsidR="00984AEA" w:rsidRDefault="00984AEA" w:rsidP="004116EC">
            <w:pPr>
              <w:tabs>
                <w:tab w:val="left" w:pos="1086"/>
                <w:tab w:val="left" w:pos="1445"/>
              </w:tabs>
              <w:spacing w:before="120" w:line="244" w:lineRule="auto"/>
              <w:ind w:left="330"/>
              <w:rPr>
                <w:rFonts w:ascii="Century Gothic" w:hAnsi="Century Gothic"/>
                <w:sz w:val="20"/>
                <w:szCs w:val="20"/>
              </w:rPr>
            </w:pPr>
            <w:r>
              <w:rPr>
                <w:rFonts w:ascii="Century Gothic" w:hAnsi="Century Gothic"/>
                <w:sz w:val="20"/>
                <w:szCs w:val="20"/>
              </w:rPr>
              <w:t>(Carry to action alert worksheet.)</w:t>
            </w:r>
          </w:p>
          <w:p w14:paraId="192E21EF" w14:textId="2A73B0D6" w:rsidR="00207A13" w:rsidRPr="00CB6309" w:rsidRDefault="00207A13" w:rsidP="004116EC">
            <w:pPr>
              <w:tabs>
                <w:tab w:val="left" w:pos="1086"/>
                <w:tab w:val="left" w:pos="1445"/>
              </w:tabs>
              <w:spacing w:before="120"/>
              <w:ind w:left="330"/>
              <w:rPr>
                <w:rFonts w:ascii="Century Gothic" w:hAnsi="Century Gothic"/>
                <w:sz w:val="16"/>
                <w:szCs w:val="20"/>
              </w:rPr>
            </w:pPr>
            <w:r w:rsidRPr="00916D8D">
              <w:rPr>
                <w:rFonts w:ascii="Century Gothic" w:hAnsi="Century Gothic"/>
                <w:sz w:val="16"/>
                <w:szCs w:val="20"/>
              </w:rPr>
              <w:t xml:space="preserve">NOTE: Break </w:t>
            </w:r>
            <w:r>
              <w:rPr>
                <w:rFonts w:ascii="Century Gothic" w:hAnsi="Century Gothic"/>
                <w:sz w:val="16"/>
                <w:szCs w:val="20"/>
              </w:rPr>
              <w:t xml:space="preserve">message </w:t>
            </w:r>
            <w:r w:rsidRPr="00916D8D">
              <w:rPr>
                <w:rFonts w:ascii="Century Gothic" w:hAnsi="Century Gothic"/>
                <w:sz w:val="16"/>
                <w:szCs w:val="20"/>
              </w:rPr>
              <w:t>down by target population and provider or setting type</w:t>
            </w:r>
            <w:r>
              <w:rPr>
                <w:rFonts w:ascii="Century Gothic" w:hAnsi="Century Gothic"/>
                <w:sz w:val="16"/>
                <w:szCs w:val="20"/>
              </w:rPr>
              <w:t>, if appropriate.</w:t>
            </w:r>
          </w:p>
          <w:p w14:paraId="0EED888F" w14:textId="77777777" w:rsidR="00207A13" w:rsidRDefault="00207A13" w:rsidP="00984AEA">
            <w:pPr>
              <w:tabs>
                <w:tab w:val="left" w:pos="1086"/>
                <w:tab w:val="left" w:pos="1445"/>
              </w:tabs>
              <w:spacing w:before="120" w:line="244" w:lineRule="auto"/>
              <w:rPr>
                <w:rFonts w:ascii="Century Gothic" w:hAnsi="Century Gothic"/>
                <w:sz w:val="20"/>
                <w:szCs w:val="20"/>
              </w:rPr>
            </w:pPr>
          </w:p>
          <w:p w14:paraId="1A6B462C" w14:textId="410BD09B" w:rsidR="0073360E" w:rsidRPr="00916D8D" w:rsidRDefault="0073360E" w:rsidP="00AF270F">
            <w:pPr>
              <w:tabs>
                <w:tab w:val="left" w:pos="1086"/>
                <w:tab w:val="left" w:pos="1445"/>
              </w:tabs>
              <w:spacing w:before="120" w:line="247" w:lineRule="auto"/>
              <w:rPr>
                <w:rFonts w:ascii="Century Gothic" w:hAnsi="Century Gothic"/>
                <w:sz w:val="20"/>
                <w:szCs w:val="20"/>
              </w:rPr>
            </w:pPr>
          </w:p>
        </w:tc>
        <w:tc>
          <w:tcPr>
            <w:tcW w:w="7200" w:type="dxa"/>
            <w:shd w:val="clear" w:color="auto" w:fill="FFFFFF" w:themeFill="background1"/>
            <w:tcMar>
              <w:top w:w="72" w:type="dxa"/>
              <w:bottom w:w="72" w:type="dxa"/>
            </w:tcMar>
            <w:vAlign w:val="center"/>
          </w:tcPr>
          <w:p w14:paraId="040B885A" w14:textId="46125FB4" w:rsidR="0068418A" w:rsidRPr="008F20CD" w:rsidRDefault="0068418A" w:rsidP="00900E4A">
            <w:pPr>
              <w:rPr>
                <w:color w:val="FF0000"/>
                <w:sz w:val="20"/>
                <w:szCs w:val="20"/>
              </w:rPr>
            </w:pPr>
          </w:p>
          <w:p w14:paraId="51060AFD" w14:textId="77777777" w:rsidR="00F70590" w:rsidRDefault="00F70590" w:rsidP="00900E4A">
            <w:pPr>
              <w:rPr>
                <w:color w:val="FF0000"/>
                <w:sz w:val="20"/>
                <w:szCs w:val="20"/>
              </w:rPr>
            </w:pPr>
          </w:p>
          <w:p w14:paraId="11472A6C" w14:textId="77777777" w:rsidR="00F70590" w:rsidRDefault="00F70590" w:rsidP="00900E4A">
            <w:pPr>
              <w:rPr>
                <w:color w:val="FF0000"/>
              </w:rPr>
            </w:pPr>
          </w:p>
          <w:p w14:paraId="2F7BA722" w14:textId="77777777" w:rsidR="00F70590" w:rsidRDefault="00F70590" w:rsidP="00900E4A">
            <w:pPr>
              <w:rPr>
                <w:color w:val="FF0000"/>
              </w:rPr>
            </w:pPr>
          </w:p>
          <w:p w14:paraId="469E2A32" w14:textId="77777777" w:rsidR="00F70590" w:rsidRDefault="00F70590" w:rsidP="00900E4A">
            <w:pPr>
              <w:rPr>
                <w:color w:val="FF0000"/>
              </w:rPr>
            </w:pPr>
          </w:p>
          <w:p w14:paraId="0458A28A" w14:textId="77777777" w:rsidR="00F70590" w:rsidRDefault="00F70590" w:rsidP="00900E4A">
            <w:pPr>
              <w:rPr>
                <w:color w:val="FF0000"/>
              </w:rPr>
            </w:pPr>
          </w:p>
          <w:p w14:paraId="20773162" w14:textId="77777777" w:rsidR="00F70590" w:rsidRDefault="00F70590" w:rsidP="00900E4A">
            <w:pPr>
              <w:rPr>
                <w:color w:val="FF0000"/>
              </w:rPr>
            </w:pPr>
          </w:p>
          <w:p w14:paraId="123D6C82" w14:textId="77777777" w:rsidR="00F70590" w:rsidRDefault="00F70590" w:rsidP="00900E4A">
            <w:pPr>
              <w:rPr>
                <w:color w:val="FF0000"/>
              </w:rPr>
            </w:pPr>
          </w:p>
          <w:p w14:paraId="7BB94C06" w14:textId="77777777" w:rsidR="00F70590" w:rsidRDefault="00F70590" w:rsidP="00900E4A">
            <w:pPr>
              <w:rPr>
                <w:color w:val="FF0000"/>
              </w:rPr>
            </w:pPr>
          </w:p>
          <w:p w14:paraId="25A272D1" w14:textId="77777777" w:rsidR="00F70590" w:rsidRDefault="00F70590" w:rsidP="00900E4A">
            <w:pPr>
              <w:rPr>
                <w:color w:val="FF0000"/>
              </w:rPr>
            </w:pPr>
          </w:p>
          <w:p w14:paraId="5CC72786" w14:textId="0EA68755" w:rsidR="0068418A" w:rsidRPr="003137DC" w:rsidRDefault="0068418A" w:rsidP="00900E4A">
            <w:pPr>
              <w:rPr>
                <w:rStyle w:val="Strong"/>
                <w:rFonts w:eastAsia="Times New Roman" w:cstheme="minorHAnsi"/>
                <w:b w:val="0"/>
                <w:color w:val="000000"/>
                <w:sz w:val="20"/>
                <w:szCs w:val="20"/>
              </w:rPr>
            </w:pPr>
            <w:r w:rsidRPr="008F20CD">
              <w:rPr>
                <w:color w:val="FF0000"/>
                <w:sz w:val="20"/>
                <w:szCs w:val="20"/>
              </w:rPr>
              <w:t xml:space="preserve"> </w:t>
            </w:r>
          </w:p>
        </w:tc>
      </w:tr>
      <w:tr w:rsidR="0073360E" w:rsidRPr="00103AAC" w14:paraId="0DD6D09F" w14:textId="77777777" w:rsidTr="00A329F7">
        <w:trPr>
          <w:trHeight w:val="935"/>
        </w:trPr>
        <w:tc>
          <w:tcPr>
            <w:tcW w:w="3690" w:type="dxa"/>
            <w:shd w:val="clear" w:color="auto" w:fill="E7E6E6" w:themeFill="background2"/>
            <w:tcMar>
              <w:top w:w="72" w:type="dxa"/>
              <w:left w:w="115" w:type="dxa"/>
              <w:bottom w:w="72" w:type="dxa"/>
              <w:right w:w="115" w:type="dxa"/>
            </w:tcMar>
            <w:vAlign w:val="center"/>
          </w:tcPr>
          <w:p w14:paraId="5517B805" w14:textId="3EE0B329" w:rsidR="0073360E" w:rsidRPr="004116EC" w:rsidRDefault="0073360E" w:rsidP="004116EC">
            <w:pPr>
              <w:pStyle w:val="ListParagraph"/>
              <w:numPr>
                <w:ilvl w:val="0"/>
                <w:numId w:val="27"/>
              </w:numPr>
              <w:tabs>
                <w:tab w:val="left" w:pos="1086"/>
                <w:tab w:val="left" w:pos="1445"/>
              </w:tabs>
              <w:spacing w:before="120" w:line="247" w:lineRule="auto"/>
              <w:ind w:left="330"/>
              <w:rPr>
                <w:rFonts w:ascii="Century Gothic" w:hAnsi="Century Gothic"/>
                <w:sz w:val="20"/>
                <w:szCs w:val="20"/>
              </w:rPr>
            </w:pPr>
            <w:r w:rsidRPr="004116EC">
              <w:rPr>
                <w:rFonts w:ascii="Century Gothic" w:hAnsi="Century Gothic"/>
                <w:sz w:val="20"/>
                <w:szCs w:val="20"/>
              </w:rPr>
              <w:t xml:space="preserve">Sources/References </w:t>
            </w:r>
          </w:p>
        </w:tc>
        <w:tc>
          <w:tcPr>
            <w:tcW w:w="7200" w:type="dxa"/>
            <w:shd w:val="clear" w:color="auto" w:fill="FFFFFF" w:themeFill="background1"/>
            <w:tcMar>
              <w:top w:w="72" w:type="dxa"/>
              <w:bottom w:w="72" w:type="dxa"/>
            </w:tcMar>
            <w:vAlign w:val="center"/>
          </w:tcPr>
          <w:p w14:paraId="22D26B13" w14:textId="77777777" w:rsidR="0073360E" w:rsidRDefault="0073360E" w:rsidP="00900E4A">
            <w:pPr>
              <w:rPr>
                <w:rStyle w:val="Strong"/>
                <w:rFonts w:ascii="Century Gothic" w:eastAsia="Times New Roman" w:hAnsi="Century Gothic" w:cs="Tahoma"/>
                <w:color w:val="000000"/>
                <w:szCs w:val="24"/>
              </w:rPr>
            </w:pPr>
          </w:p>
          <w:p w14:paraId="49361AEE" w14:textId="77777777" w:rsidR="00F70590" w:rsidRDefault="00F70590" w:rsidP="00900E4A">
            <w:pPr>
              <w:rPr>
                <w:rStyle w:val="Strong"/>
                <w:rFonts w:ascii="Century Gothic" w:eastAsia="Times New Roman" w:hAnsi="Century Gothic" w:cs="Tahoma"/>
                <w:color w:val="000000"/>
                <w:szCs w:val="24"/>
              </w:rPr>
            </w:pPr>
          </w:p>
          <w:p w14:paraId="001F8F1E" w14:textId="77777777" w:rsidR="00F70590" w:rsidRDefault="00F70590" w:rsidP="00900E4A">
            <w:pPr>
              <w:rPr>
                <w:rStyle w:val="Strong"/>
                <w:rFonts w:ascii="Century Gothic" w:eastAsia="Times New Roman" w:hAnsi="Century Gothic" w:cs="Tahoma"/>
                <w:color w:val="000000"/>
                <w:szCs w:val="24"/>
              </w:rPr>
            </w:pPr>
          </w:p>
          <w:p w14:paraId="13183173" w14:textId="77777777" w:rsidR="00F70590" w:rsidRDefault="00F70590" w:rsidP="00900E4A">
            <w:pPr>
              <w:rPr>
                <w:rStyle w:val="Strong"/>
                <w:rFonts w:ascii="Century Gothic" w:eastAsia="Times New Roman" w:hAnsi="Century Gothic" w:cs="Tahoma"/>
                <w:color w:val="000000"/>
                <w:szCs w:val="24"/>
              </w:rPr>
            </w:pPr>
          </w:p>
          <w:p w14:paraId="09FB6ED0" w14:textId="55C21E7B" w:rsidR="00F70590" w:rsidRPr="00103AAC" w:rsidRDefault="00F70590" w:rsidP="00900E4A">
            <w:pPr>
              <w:rPr>
                <w:rStyle w:val="Strong"/>
                <w:rFonts w:ascii="Century Gothic" w:eastAsia="Times New Roman" w:hAnsi="Century Gothic" w:cs="Tahoma"/>
                <w:color w:val="000000"/>
                <w:szCs w:val="24"/>
              </w:rPr>
            </w:pPr>
          </w:p>
        </w:tc>
      </w:tr>
    </w:tbl>
    <w:p w14:paraId="050E19F0" w14:textId="77777777" w:rsidR="0073360E" w:rsidRDefault="0073360E" w:rsidP="0073360E">
      <w:pPr>
        <w:tabs>
          <w:tab w:val="left" w:pos="1086"/>
          <w:tab w:val="left" w:pos="1445"/>
        </w:tabs>
        <w:spacing w:after="0" w:line="240" w:lineRule="auto"/>
        <w:rPr>
          <w:rFonts w:ascii="Century Gothic" w:hAnsi="Century Gothic" w:cs="Calibri"/>
          <w:b/>
          <w:color w:val="404040" w:themeColor="text1" w:themeTint="BF"/>
          <w:sz w:val="24"/>
          <w:szCs w:val="24"/>
        </w:rPr>
      </w:pPr>
    </w:p>
    <w:p w14:paraId="0905CC2E" w14:textId="77777777" w:rsidR="0073360E" w:rsidRDefault="0073360E" w:rsidP="0073360E">
      <w:pPr>
        <w:tabs>
          <w:tab w:val="left" w:pos="1086"/>
          <w:tab w:val="left" w:pos="1445"/>
        </w:tabs>
        <w:spacing w:after="0" w:line="240" w:lineRule="auto"/>
        <w:rPr>
          <w:rFonts w:ascii="Century Gothic" w:hAnsi="Century Gothic" w:cs="Calibri"/>
          <w:b/>
          <w:color w:val="404040" w:themeColor="text1" w:themeTint="BF"/>
          <w:sz w:val="24"/>
          <w:szCs w:val="24"/>
        </w:rPr>
      </w:pPr>
    </w:p>
    <w:p w14:paraId="3E76B8D5" w14:textId="146246DC" w:rsidR="009E03DD" w:rsidRDefault="009E03DD">
      <w:pPr>
        <w:rPr>
          <w:rFonts w:ascii="Century Gothic" w:hAnsi="Century Gothic" w:cs="Calibri"/>
          <w:b/>
          <w:color w:val="404040" w:themeColor="text1" w:themeTint="BF"/>
          <w:sz w:val="24"/>
          <w:szCs w:val="24"/>
        </w:rPr>
      </w:pPr>
    </w:p>
    <w:p w14:paraId="6B9D9F17" w14:textId="77777777" w:rsidR="0073360E" w:rsidRDefault="0073360E" w:rsidP="0073360E">
      <w:pPr>
        <w:tabs>
          <w:tab w:val="left" w:pos="1086"/>
          <w:tab w:val="left" w:pos="1445"/>
        </w:tabs>
        <w:spacing w:after="0" w:line="240" w:lineRule="auto"/>
        <w:rPr>
          <w:rFonts w:ascii="Century Gothic" w:hAnsi="Century Gothic" w:cs="Calibri"/>
          <w:b/>
          <w:color w:val="404040" w:themeColor="text1" w:themeTint="BF"/>
          <w:sz w:val="24"/>
          <w:szCs w:val="24"/>
        </w:rPr>
      </w:pPr>
      <w:bookmarkStart w:id="1" w:name="_Hlk14698872"/>
      <w:r>
        <w:rPr>
          <w:rFonts w:ascii="Century Gothic" w:hAnsi="Century Gothic" w:cs="Calibri"/>
          <w:b/>
          <w:color w:val="404040" w:themeColor="text1" w:themeTint="BF"/>
          <w:sz w:val="24"/>
          <w:szCs w:val="24"/>
        </w:rPr>
        <w:t xml:space="preserve">MCH State Action Plan Objectives &amp; Strategies: </w:t>
      </w:r>
    </w:p>
    <w:p w14:paraId="18ED1BC9" w14:textId="77777777" w:rsidR="00023FA9" w:rsidRPr="00F70590" w:rsidRDefault="00023FA9" w:rsidP="0073360E">
      <w:pPr>
        <w:tabs>
          <w:tab w:val="left" w:pos="1086"/>
          <w:tab w:val="left" w:pos="1445"/>
        </w:tabs>
        <w:spacing w:after="0" w:line="240" w:lineRule="auto"/>
        <w:rPr>
          <w:rFonts w:ascii="Century Gothic" w:hAnsi="Century Gothic" w:cs="Calibri"/>
          <w:b/>
          <w:color w:val="404040" w:themeColor="text1" w:themeTint="BF"/>
          <w:sz w:val="12"/>
          <w:szCs w:val="12"/>
        </w:rPr>
      </w:pPr>
    </w:p>
    <w:p w14:paraId="5B4FAD2F" w14:textId="77777777" w:rsidR="0073360E" w:rsidRPr="00656F73" w:rsidRDefault="0073360E" w:rsidP="0073360E">
      <w:pPr>
        <w:pStyle w:val="ListParagraph"/>
        <w:numPr>
          <w:ilvl w:val="0"/>
          <w:numId w:val="22"/>
        </w:numPr>
        <w:tabs>
          <w:tab w:val="left" w:pos="1086"/>
          <w:tab w:val="left" w:pos="1445"/>
        </w:tabs>
        <w:spacing w:after="0" w:line="240" w:lineRule="auto"/>
        <w:rPr>
          <w:rFonts w:ascii="Century Gothic" w:hAnsi="Century Gothic" w:cs="Calibri"/>
          <w:b/>
          <w:color w:val="404040" w:themeColor="text1" w:themeTint="BF"/>
          <w:szCs w:val="24"/>
        </w:rPr>
      </w:pPr>
      <w:r w:rsidRPr="00656F73">
        <w:rPr>
          <w:sz w:val="20"/>
        </w:rPr>
        <w:t>Increase access to programs and providers serving adolescents that assess for and intervene with those at risk for suicide.</w:t>
      </w:r>
    </w:p>
    <w:p w14:paraId="1AB3C2A3" w14:textId="77777777" w:rsidR="0073360E" w:rsidRPr="00656F73" w:rsidRDefault="0073360E" w:rsidP="0073360E">
      <w:pPr>
        <w:pStyle w:val="ListParagraph"/>
        <w:numPr>
          <w:ilvl w:val="1"/>
          <w:numId w:val="22"/>
        </w:numPr>
        <w:tabs>
          <w:tab w:val="left" w:pos="1086"/>
          <w:tab w:val="left" w:pos="1445"/>
        </w:tabs>
        <w:spacing w:after="0" w:line="240" w:lineRule="auto"/>
        <w:rPr>
          <w:rFonts w:ascii="Century Gothic" w:hAnsi="Century Gothic" w:cs="Calibri"/>
          <w:b/>
          <w:color w:val="404040" w:themeColor="text1" w:themeTint="BF"/>
          <w:sz w:val="18"/>
          <w:szCs w:val="20"/>
        </w:rPr>
      </w:pPr>
      <w:r w:rsidRPr="00656F73">
        <w:rPr>
          <w:sz w:val="20"/>
        </w:rPr>
        <w:t>Develop follow-up protocols for families to be referred for behavioral health services and offer additional support as needed to assure services are received.</w:t>
      </w:r>
    </w:p>
    <w:p w14:paraId="7D3EA387" w14:textId="77777777" w:rsidR="0073360E" w:rsidRPr="00656F73" w:rsidRDefault="0073360E" w:rsidP="0073360E">
      <w:pPr>
        <w:pStyle w:val="ListParagraph"/>
        <w:numPr>
          <w:ilvl w:val="1"/>
          <w:numId w:val="22"/>
        </w:numPr>
        <w:tabs>
          <w:tab w:val="left" w:pos="1086"/>
          <w:tab w:val="left" w:pos="1445"/>
        </w:tabs>
        <w:spacing w:after="0" w:line="240" w:lineRule="auto"/>
        <w:rPr>
          <w:rFonts w:ascii="Century Gothic" w:hAnsi="Century Gothic" w:cs="Calibri"/>
          <w:b/>
          <w:color w:val="404040" w:themeColor="text1" w:themeTint="BF"/>
          <w:sz w:val="18"/>
          <w:szCs w:val="20"/>
        </w:rPr>
      </w:pPr>
      <w:r w:rsidRPr="00656F73">
        <w:rPr>
          <w:sz w:val="20"/>
        </w:rPr>
        <w:t xml:space="preserve">Provide school-based access to confidential mental health screening, referral and treatment that reduces the stigma and embarrassment often associated with mental illness, emotional disturbances and seeking treatment. </w:t>
      </w:r>
    </w:p>
    <w:p w14:paraId="67147AB6" w14:textId="77777777" w:rsidR="0073360E" w:rsidRPr="00656F73" w:rsidRDefault="0073360E" w:rsidP="0073360E">
      <w:pPr>
        <w:pStyle w:val="ListParagraph"/>
        <w:numPr>
          <w:ilvl w:val="1"/>
          <w:numId w:val="22"/>
        </w:numPr>
        <w:tabs>
          <w:tab w:val="left" w:pos="1086"/>
          <w:tab w:val="left" w:pos="1445"/>
        </w:tabs>
        <w:spacing w:after="0" w:line="240" w:lineRule="auto"/>
        <w:rPr>
          <w:rFonts w:ascii="Century Gothic" w:hAnsi="Century Gothic" w:cs="Calibri"/>
          <w:b/>
          <w:color w:val="404040" w:themeColor="text1" w:themeTint="BF"/>
          <w:sz w:val="18"/>
          <w:szCs w:val="20"/>
        </w:rPr>
      </w:pPr>
      <w:r w:rsidRPr="00656F73">
        <w:rPr>
          <w:sz w:val="20"/>
        </w:rPr>
        <w:t xml:space="preserve">Partner with KU Pediatrics, Kansas Department of Aging and Disability Services, and Kansas Association for the Medically Underserved to provide mental health fellowship training opportunities to pediatric primary care providers through the REACH Institute. </w:t>
      </w:r>
    </w:p>
    <w:p w14:paraId="17B47DF3" w14:textId="77777777" w:rsidR="0073360E" w:rsidRPr="00656F73" w:rsidRDefault="0073360E" w:rsidP="0073360E">
      <w:pPr>
        <w:pStyle w:val="ListParagraph"/>
        <w:numPr>
          <w:ilvl w:val="1"/>
          <w:numId w:val="22"/>
        </w:numPr>
        <w:tabs>
          <w:tab w:val="left" w:pos="1086"/>
          <w:tab w:val="left" w:pos="1445"/>
        </w:tabs>
        <w:spacing w:after="0" w:line="240" w:lineRule="auto"/>
        <w:rPr>
          <w:rFonts w:ascii="Century Gothic" w:hAnsi="Century Gothic" w:cs="Calibri"/>
          <w:b/>
          <w:color w:val="404040" w:themeColor="text1" w:themeTint="BF"/>
          <w:sz w:val="18"/>
          <w:szCs w:val="20"/>
        </w:rPr>
      </w:pPr>
      <w:r w:rsidRPr="00656F73">
        <w:rPr>
          <w:sz w:val="20"/>
        </w:rPr>
        <w:t>Promote the yellow ribbon initiative and accessible crisis services through school and out-of-school activities.</w:t>
      </w:r>
    </w:p>
    <w:p w14:paraId="025080FD" w14:textId="6D2BC941" w:rsidR="0073360E" w:rsidRDefault="0073360E" w:rsidP="0073360E">
      <w:pPr>
        <w:pStyle w:val="ListParagraph"/>
        <w:tabs>
          <w:tab w:val="left" w:pos="1086"/>
          <w:tab w:val="left" w:pos="1445"/>
        </w:tabs>
        <w:spacing w:after="0" w:line="240" w:lineRule="auto"/>
        <w:ind w:left="1440"/>
        <w:rPr>
          <w:rFonts w:ascii="Century Gothic" w:hAnsi="Century Gothic" w:cs="Calibri"/>
          <w:b/>
          <w:color w:val="404040" w:themeColor="text1" w:themeTint="BF"/>
          <w:sz w:val="20"/>
          <w:szCs w:val="20"/>
        </w:rPr>
      </w:pPr>
    </w:p>
    <w:p w14:paraId="43D4C271" w14:textId="77777777" w:rsidR="00F70590" w:rsidRPr="00656F73" w:rsidRDefault="00F70590" w:rsidP="0073360E">
      <w:pPr>
        <w:pStyle w:val="ListParagraph"/>
        <w:tabs>
          <w:tab w:val="left" w:pos="1086"/>
          <w:tab w:val="left" w:pos="1445"/>
        </w:tabs>
        <w:spacing w:after="0" w:line="240" w:lineRule="auto"/>
        <w:ind w:left="1440"/>
        <w:rPr>
          <w:rFonts w:ascii="Century Gothic" w:hAnsi="Century Gothic" w:cs="Calibri"/>
          <w:b/>
          <w:color w:val="404040" w:themeColor="text1" w:themeTint="BF"/>
          <w:sz w:val="20"/>
          <w:szCs w:val="20"/>
        </w:rPr>
      </w:pPr>
    </w:p>
    <w:p w14:paraId="657115BE" w14:textId="77777777" w:rsidR="0073360E" w:rsidRPr="000753E7" w:rsidRDefault="0073360E" w:rsidP="0073360E">
      <w:pPr>
        <w:tabs>
          <w:tab w:val="left" w:pos="1086"/>
          <w:tab w:val="left" w:pos="1445"/>
        </w:tabs>
        <w:spacing w:after="0" w:line="240" w:lineRule="auto"/>
        <w:rPr>
          <w:rFonts w:ascii="Century Gothic" w:hAnsi="Century Gothic" w:cs="Calibri"/>
          <w:b/>
          <w:color w:val="404040" w:themeColor="text1" w:themeTint="BF"/>
          <w:sz w:val="24"/>
          <w:szCs w:val="24"/>
        </w:rPr>
      </w:pPr>
      <w:r>
        <w:rPr>
          <w:rFonts w:ascii="Century Gothic" w:hAnsi="Century Gothic" w:cs="Calibri"/>
          <w:b/>
          <w:color w:val="404040" w:themeColor="text1" w:themeTint="BF"/>
          <w:sz w:val="24"/>
          <w:szCs w:val="24"/>
        </w:rPr>
        <w:t xml:space="preserve">What, if any recommendations, does the group have for the MCH State Action Plan related to this issue? Consider and discuss the following: </w:t>
      </w:r>
    </w:p>
    <w:p w14:paraId="3E5BFDD5" w14:textId="77777777" w:rsidR="0073360E" w:rsidRDefault="0073360E" w:rsidP="0073360E">
      <w:pPr>
        <w:tabs>
          <w:tab w:val="left" w:pos="1086"/>
          <w:tab w:val="left" w:pos="1445"/>
        </w:tabs>
        <w:spacing w:after="0" w:line="240" w:lineRule="auto"/>
        <w:rPr>
          <w:rFonts w:ascii="Century Gothic" w:hAnsi="Century Gothic" w:cs="Calibri"/>
          <w:color w:val="404040" w:themeColor="text1" w:themeTint="BF"/>
          <w:sz w:val="24"/>
          <w:szCs w:val="24"/>
        </w:rPr>
      </w:pPr>
    </w:p>
    <w:tbl>
      <w:tblPr>
        <w:tblStyle w:val="TableGrid"/>
        <w:tblW w:w="10890" w:type="dxa"/>
        <w:tblInd w:w="-5" w:type="dxa"/>
        <w:shd w:val="clear" w:color="auto" w:fill="D0CECE" w:themeFill="background2" w:themeFillShade="E6"/>
        <w:tblLook w:val="04A0" w:firstRow="1" w:lastRow="0" w:firstColumn="1" w:lastColumn="0" w:noHBand="0" w:noVBand="1"/>
      </w:tblPr>
      <w:tblGrid>
        <w:gridCol w:w="3870"/>
        <w:gridCol w:w="3510"/>
        <w:gridCol w:w="3510"/>
      </w:tblGrid>
      <w:tr w:rsidR="0073360E" w:rsidRPr="00103AAC" w14:paraId="0B2C79A7" w14:textId="77777777" w:rsidTr="00F70590">
        <w:trPr>
          <w:trHeight w:val="935"/>
        </w:trPr>
        <w:tc>
          <w:tcPr>
            <w:tcW w:w="3870" w:type="dxa"/>
            <w:shd w:val="clear" w:color="auto" w:fill="E7E6E6" w:themeFill="background2"/>
            <w:tcMar>
              <w:top w:w="72" w:type="dxa"/>
              <w:left w:w="115" w:type="dxa"/>
              <w:bottom w:w="72" w:type="dxa"/>
              <w:right w:w="115" w:type="dxa"/>
            </w:tcMar>
            <w:vAlign w:val="center"/>
          </w:tcPr>
          <w:p w14:paraId="6A259CC2" w14:textId="77777777" w:rsidR="0073360E" w:rsidRDefault="0073360E" w:rsidP="00900E4A">
            <w:pPr>
              <w:tabs>
                <w:tab w:val="left" w:pos="1086"/>
                <w:tab w:val="left" w:pos="1445"/>
              </w:tabs>
              <w:rPr>
                <w:rFonts w:ascii="Century Gothic" w:hAnsi="Century Gothic" w:cs="Calibri"/>
                <w:color w:val="404040" w:themeColor="text1" w:themeTint="BF"/>
                <w:sz w:val="20"/>
                <w:szCs w:val="20"/>
              </w:rPr>
            </w:pPr>
            <w:r w:rsidRPr="000753E7">
              <w:rPr>
                <w:rFonts w:ascii="Century Gothic" w:hAnsi="Century Gothic" w:cs="Calibri"/>
                <w:color w:val="404040" w:themeColor="text1" w:themeTint="BF"/>
                <w:sz w:val="20"/>
                <w:szCs w:val="20"/>
              </w:rPr>
              <w:t xml:space="preserve">Is </w:t>
            </w:r>
            <w:r>
              <w:rPr>
                <w:rFonts w:ascii="Century Gothic" w:hAnsi="Century Gothic" w:cs="Calibri"/>
                <w:color w:val="404040" w:themeColor="text1" w:themeTint="BF"/>
                <w:sz w:val="20"/>
                <w:szCs w:val="20"/>
              </w:rPr>
              <w:t>the issue/need</w:t>
            </w:r>
            <w:r w:rsidRPr="000753E7">
              <w:rPr>
                <w:rFonts w:ascii="Century Gothic" w:hAnsi="Century Gothic" w:cs="Calibri"/>
                <w:color w:val="404040" w:themeColor="text1" w:themeTint="BF"/>
                <w:sz w:val="20"/>
                <w:szCs w:val="20"/>
              </w:rPr>
              <w:t xml:space="preserve"> adequately addressed in the plan? </w:t>
            </w:r>
          </w:p>
          <w:p w14:paraId="3FFBAA26" w14:textId="77777777" w:rsidR="0073360E" w:rsidRDefault="0073360E" w:rsidP="00900E4A">
            <w:pPr>
              <w:tabs>
                <w:tab w:val="left" w:pos="1086"/>
                <w:tab w:val="left" w:pos="1445"/>
              </w:tabs>
              <w:rPr>
                <w:rFonts w:ascii="Century Gothic" w:hAnsi="Century Gothic" w:cs="Calibri"/>
                <w:color w:val="404040" w:themeColor="text1" w:themeTint="BF"/>
                <w:sz w:val="20"/>
                <w:szCs w:val="20"/>
              </w:rPr>
            </w:pPr>
          </w:p>
          <w:p w14:paraId="734A7E42" w14:textId="77777777" w:rsidR="00F70590" w:rsidRDefault="0073360E" w:rsidP="00900E4A">
            <w:pPr>
              <w:tabs>
                <w:tab w:val="left" w:pos="1086"/>
                <w:tab w:val="left" w:pos="1445"/>
              </w:tabs>
              <w:rPr>
                <w:rFonts w:ascii="Century Gothic" w:hAnsi="Century Gothic" w:cs="Calibri"/>
                <w:color w:val="404040" w:themeColor="text1" w:themeTint="BF"/>
                <w:sz w:val="20"/>
                <w:szCs w:val="20"/>
              </w:rPr>
            </w:pPr>
            <w:r>
              <w:rPr>
                <w:rFonts w:ascii="Century Gothic" w:hAnsi="Century Gothic" w:cs="Calibri"/>
                <w:color w:val="404040" w:themeColor="text1" w:themeTint="BF"/>
                <w:sz w:val="20"/>
                <w:szCs w:val="20"/>
              </w:rPr>
              <w:t>Circle one (yes or no) and explain.</w:t>
            </w:r>
          </w:p>
          <w:p w14:paraId="34BB4E52" w14:textId="54343E65" w:rsidR="0073360E" w:rsidRPr="000753E7" w:rsidRDefault="0073360E" w:rsidP="00900E4A">
            <w:pPr>
              <w:tabs>
                <w:tab w:val="left" w:pos="1086"/>
                <w:tab w:val="left" w:pos="1445"/>
              </w:tabs>
              <w:rPr>
                <w:rFonts w:ascii="Century Gothic" w:hAnsi="Century Gothic" w:cs="Calibri"/>
                <w:color w:val="404040" w:themeColor="text1" w:themeTint="BF"/>
                <w:sz w:val="20"/>
                <w:szCs w:val="20"/>
              </w:rPr>
            </w:pPr>
            <w:r>
              <w:rPr>
                <w:rFonts w:ascii="Century Gothic" w:hAnsi="Century Gothic" w:cs="Calibri"/>
                <w:color w:val="404040" w:themeColor="text1" w:themeTint="BF"/>
                <w:sz w:val="20"/>
                <w:szCs w:val="20"/>
              </w:rPr>
              <w:br/>
            </w:r>
          </w:p>
        </w:tc>
        <w:tc>
          <w:tcPr>
            <w:tcW w:w="3510" w:type="dxa"/>
            <w:shd w:val="clear" w:color="auto" w:fill="FFFFFF" w:themeFill="background1"/>
            <w:tcMar>
              <w:top w:w="72" w:type="dxa"/>
              <w:bottom w:w="72" w:type="dxa"/>
            </w:tcMar>
          </w:tcPr>
          <w:p w14:paraId="67A675A9" w14:textId="77777777" w:rsidR="0073360E" w:rsidRDefault="0073360E" w:rsidP="00F70590">
            <w:pPr>
              <w:spacing w:before="40"/>
              <w:jc w:val="center"/>
              <w:rPr>
                <w:rStyle w:val="Strong"/>
                <w:rFonts w:eastAsia="Times New Roman" w:cs="Tahoma"/>
                <w:b w:val="0"/>
                <w:color w:val="000000"/>
                <w:sz w:val="20"/>
                <w:szCs w:val="20"/>
              </w:rPr>
            </w:pPr>
            <w:r w:rsidRPr="005D0A0C">
              <w:rPr>
                <w:rStyle w:val="Strong"/>
                <w:rFonts w:eastAsia="Times New Roman" w:cs="Tahoma"/>
                <w:b w:val="0"/>
                <w:color w:val="000000"/>
                <w:sz w:val="20"/>
                <w:szCs w:val="20"/>
              </w:rPr>
              <w:t>Yes</w:t>
            </w:r>
          </w:p>
          <w:p w14:paraId="10B86374" w14:textId="335F617D" w:rsidR="00F70590" w:rsidRPr="00F70590" w:rsidRDefault="00F70590" w:rsidP="00F70590">
            <w:pPr>
              <w:spacing w:before="40"/>
              <w:rPr>
                <w:rStyle w:val="Strong"/>
                <w:rFonts w:eastAsia="Times New Roman" w:cs="Tahoma"/>
                <w:b w:val="0"/>
                <w:i/>
                <w:iCs/>
                <w:color w:val="000000"/>
                <w:sz w:val="20"/>
                <w:szCs w:val="20"/>
              </w:rPr>
            </w:pPr>
          </w:p>
        </w:tc>
        <w:tc>
          <w:tcPr>
            <w:tcW w:w="3510" w:type="dxa"/>
            <w:shd w:val="clear" w:color="auto" w:fill="FFFFFF" w:themeFill="background1"/>
          </w:tcPr>
          <w:p w14:paraId="0CCC0D72" w14:textId="77777777" w:rsidR="0073360E" w:rsidRPr="005D0A0C" w:rsidRDefault="0073360E" w:rsidP="00F70590">
            <w:pPr>
              <w:spacing w:before="40"/>
              <w:jc w:val="center"/>
              <w:rPr>
                <w:rStyle w:val="Strong"/>
                <w:rFonts w:eastAsia="Times New Roman" w:cs="Tahoma"/>
                <w:b w:val="0"/>
                <w:color w:val="000000"/>
                <w:sz w:val="20"/>
                <w:szCs w:val="20"/>
              </w:rPr>
            </w:pPr>
            <w:r w:rsidRPr="005D0A0C">
              <w:rPr>
                <w:rStyle w:val="Strong"/>
                <w:rFonts w:eastAsia="Times New Roman" w:cs="Tahoma"/>
                <w:b w:val="0"/>
                <w:color w:val="000000"/>
                <w:sz w:val="20"/>
                <w:szCs w:val="20"/>
              </w:rPr>
              <w:t>No</w:t>
            </w:r>
          </w:p>
        </w:tc>
      </w:tr>
      <w:tr w:rsidR="0073360E" w:rsidRPr="00103AAC" w14:paraId="3C88840C" w14:textId="77777777" w:rsidTr="00F70590">
        <w:trPr>
          <w:trHeight w:val="935"/>
        </w:trPr>
        <w:tc>
          <w:tcPr>
            <w:tcW w:w="3870" w:type="dxa"/>
            <w:shd w:val="clear" w:color="auto" w:fill="E7E6E6" w:themeFill="background2"/>
            <w:tcMar>
              <w:top w:w="72" w:type="dxa"/>
              <w:left w:w="115" w:type="dxa"/>
              <w:bottom w:w="72" w:type="dxa"/>
              <w:right w:w="115" w:type="dxa"/>
            </w:tcMar>
            <w:vAlign w:val="center"/>
          </w:tcPr>
          <w:p w14:paraId="4443A7BA" w14:textId="77777777" w:rsidR="0073360E" w:rsidRPr="000753E7" w:rsidRDefault="0073360E" w:rsidP="00900E4A">
            <w:pPr>
              <w:tabs>
                <w:tab w:val="left" w:pos="1086"/>
                <w:tab w:val="left" w:pos="1445"/>
              </w:tabs>
              <w:rPr>
                <w:rFonts w:ascii="Century Gothic" w:hAnsi="Century Gothic" w:cs="Calibri"/>
                <w:color w:val="404040" w:themeColor="text1" w:themeTint="BF"/>
                <w:sz w:val="20"/>
                <w:szCs w:val="20"/>
              </w:rPr>
            </w:pPr>
            <w:r w:rsidRPr="000753E7">
              <w:rPr>
                <w:rFonts w:ascii="Century Gothic" w:hAnsi="Century Gothic" w:cs="Calibri"/>
                <w:color w:val="404040" w:themeColor="text1" w:themeTint="BF"/>
                <w:sz w:val="20"/>
                <w:szCs w:val="20"/>
              </w:rPr>
              <w:t>Does the group recommend any strategies to advance the work or improve the outcomes/measures?</w:t>
            </w:r>
          </w:p>
          <w:p w14:paraId="72865CEA" w14:textId="77777777" w:rsidR="0073360E" w:rsidRDefault="0073360E" w:rsidP="00900E4A">
            <w:pPr>
              <w:tabs>
                <w:tab w:val="left" w:pos="1086"/>
                <w:tab w:val="left" w:pos="1445"/>
              </w:tabs>
              <w:rPr>
                <w:rFonts w:ascii="Century Gothic" w:hAnsi="Century Gothic" w:cs="Calibri"/>
                <w:color w:val="404040" w:themeColor="text1" w:themeTint="BF"/>
                <w:sz w:val="20"/>
                <w:szCs w:val="20"/>
              </w:rPr>
            </w:pPr>
          </w:p>
          <w:p w14:paraId="27A76EC0" w14:textId="77777777" w:rsidR="0073360E" w:rsidRPr="000753E7" w:rsidRDefault="0073360E" w:rsidP="00900E4A">
            <w:pPr>
              <w:tabs>
                <w:tab w:val="left" w:pos="1086"/>
                <w:tab w:val="left" w:pos="1445"/>
              </w:tabs>
              <w:rPr>
                <w:rFonts w:ascii="Century Gothic" w:hAnsi="Century Gothic" w:cs="Calibri"/>
                <w:color w:val="404040" w:themeColor="text1" w:themeTint="BF"/>
                <w:sz w:val="20"/>
                <w:szCs w:val="20"/>
              </w:rPr>
            </w:pPr>
            <w:r>
              <w:rPr>
                <w:rFonts w:ascii="Century Gothic" w:hAnsi="Century Gothic" w:cs="Calibri"/>
                <w:color w:val="404040" w:themeColor="text1" w:themeTint="BF"/>
                <w:sz w:val="20"/>
                <w:szCs w:val="20"/>
              </w:rPr>
              <w:t>Circle one (yes or no) and explain.</w:t>
            </w:r>
          </w:p>
          <w:p w14:paraId="5D508B66" w14:textId="77777777" w:rsidR="0073360E" w:rsidRPr="000753E7" w:rsidRDefault="0073360E" w:rsidP="00900E4A">
            <w:pPr>
              <w:tabs>
                <w:tab w:val="left" w:pos="1086"/>
                <w:tab w:val="left" w:pos="1445"/>
              </w:tabs>
              <w:rPr>
                <w:rFonts w:ascii="Century Gothic" w:hAnsi="Century Gothic" w:cs="Calibri"/>
                <w:color w:val="404040" w:themeColor="text1" w:themeTint="BF"/>
                <w:sz w:val="20"/>
                <w:szCs w:val="20"/>
              </w:rPr>
            </w:pPr>
          </w:p>
        </w:tc>
        <w:tc>
          <w:tcPr>
            <w:tcW w:w="3510" w:type="dxa"/>
            <w:shd w:val="clear" w:color="auto" w:fill="FFFFFF" w:themeFill="background1"/>
            <w:tcMar>
              <w:top w:w="72" w:type="dxa"/>
              <w:bottom w:w="72" w:type="dxa"/>
            </w:tcMar>
          </w:tcPr>
          <w:p w14:paraId="7600A51D" w14:textId="77777777" w:rsidR="0073360E" w:rsidRPr="005D0A0C" w:rsidRDefault="0073360E" w:rsidP="00F70590">
            <w:pPr>
              <w:spacing w:before="40"/>
              <w:jc w:val="center"/>
              <w:rPr>
                <w:rStyle w:val="Strong"/>
                <w:rFonts w:eastAsia="Times New Roman" w:cs="Tahoma"/>
                <w:b w:val="0"/>
                <w:color w:val="000000"/>
                <w:sz w:val="20"/>
                <w:szCs w:val="20"/>
              </w:rPr>
            </w:pPr>
            <w:r w:rsidRPr="005D0A0C">
              <w:rPr>
                <w:rStyle w:val="Strong"/>
                <w:rFonts w:eastAsia="Times New Roman" w:cs="Tahoma"/>
                <w:b w:val="0"/>
                <w:color w:val="000000"/>
                <w:sz w:val="20"/>
                <w:szCs w:val="20"/>
              </w:rPr>
              <w:t>Yes</w:t>
            </w:r>
          </w:p>
        </w:tc>
        <w:tc>
          <w:tcPr>
            <w:tcW w:w="3510" w:type="dxa"/>
            <w:shd w:val="clear" w:color="auto" w:fill="FFFFFF" w:themeFill="background1"/>
          </w:tcPr>
          <w:p w14:paraId="11CB3A4E" w14:textId="77777777" w:rsidR="0073360E" w:rsidRPr="005D0A0C" w:rsidRDefault="0073360E" w:rsidP="00F70590">
            <w:pPr>
              <w:spacing w:before="40"/>
              <w:jc w:val="center"/>
              <w:rPr>
                <w:rStyle w:val="Strong"/>
                <w:rFonts w:eastAsia="Times New Roman" w:cs="Tahoma"/>
                <w:b w:val="0"/>
                <w:color w:val="000000"/>
                <w:sz w:val="20"/>
                <w:szCs w:val="20"/>
              </w:rPr>
            </w:pPr>
            <w:r w:rsidRPr="005D0A0C">
              <w:rPr>
                <w:rStyle w:val="Strong"/>
                <w:rFonts w:eastAsia="Times New Roman" w:cs="Tahoma"/>
                <w:b w:val="0"/>
                <w:color w:val="000000"/>
                <w:sz w:val="20"/>
                <w:szCs w:val="20"/>
              </w:rPr>
              <w:t>No</w:t>
            </w:r>
          </w:p>
        </w:tc>
      </w:tr>
    </w:tbl>
    <w:p w14:paraId="5C3EA5A9" w14:textId="77777777" w:rsidR="0073360E" w:rsidRDefault="0073360E" w:rsidP="0073360E">
      <w:pPr>
        <w:tabs>
          <w:tab w:val="left" w:pos="1086"/>
          <w:tab w:val="left" w:pos="1445"/>
        </w:tabs>
        <w:spacing w:after="0" w:line="240" w:lineRule="auto"/>
        <w:ind w:left="360"/>
        <w:rPr>
          <w:rFonts w:ascii="Century Gothic" w:hAnsi="Century Gothic" w:cs="Calibri"/>
          <w:b/>
          <w:noProof/>
          <w:color w:val="404040" w:themeColor="text1" w:themeTint="BF"/>
          <w:sz w:val="24"/>
          <w:szCs w:val="24"/>
        </w:rPr>
      </w:pPr>
    </w:p>
    <w:bookmarkEnd w:id="1"/>
    <w:p w14:paraId="6A663469" w14:textId="194526E3" w:rsidR="0073360E" w:rsidRDefault="0073360E" w:rsidP="00023FA9">
      <w:pPr>
        <w:tabs>
          <w:tab w:val="left" w:pos="1086"/>
          <w:tab w:val="left" w:pos="1445"/>
        </w:tabs>
        <w:spacing w:after="0" w:line="240" w:lineRule="auto"/>
        <w:rPr>
          <w:rFonts w:ascii="Century Gothic" w:hAnsi="Century Gothic" w:cs="Calibri"/>
          <w:b/>
          <w:color w:val="404040" w:themeColor="text1" w:themeTint="BF"/>
          <w:sz w:val="24"/>
          <w:szCs w:val="24"/>
        </w:rPr>
      </w:pPr>
      <w:r>
        <w:rPr>
          <w:rFonts w:ascii="Century Gothic" w:hAnsi="Century Gothic" w:cs="Calibri"/>
          <w:b/>
          <w:color w:val="404040" w:themeColor="text1" w:themeTint="BF"/>
          <w:sz w:val="24"/>
          <w:szCs w:val="24"/>
        </w:rPr>
        <w:lastRenderedPageBreak/>
        <w:t>Significance &amp; Data:</w:t>
      </w:r>
    </w:p>
    <w:p w14:paraId="6DF58F30" w14:textId="77777777" w:rsidR="00023FA9" w:rsidRDefault="00023FA9" w:rsidP="00023FA9">
      <w:pPr>
        <w:tabs>
          <w:tab w:val="left" w:pos="1086"/>
          <w:tab w:val="left" w:pos="1445"/>
        </w:tabs>
        <w:spacing w:after="0" w:line="240" w:lineRule="auto"/>
        <w:rPr>
          <w:rFonts w:ascii="Century Gothic" w:hAnsi="Century Gothic" w:cs="Calibri"/>
          <w:b/>
          <w:color w:val="404040" w:themeColor="text1" w:themeTint="BF"/>
          <w:sz w:val="24"/>
          <w:szCs w:val="24"/>
        </w:rPr>
      </w:pPr>
    </w:p>
    <w:p w14:paraId="008305A0" w14:textId="77777777" w:rsidR="0073360E" w:rsidRPr="00656F73" w:rsidRDefault="0073360E" w:rsidP="00023FA9">
      <w:pPr>
        <w:tabs>
          <w:tab w:val="left" w:pos="1086"/>
          <w:tab w:val="left" w:pos="1445"/>
        </w:tabs>
        <w:spacing w:after="0" w:line="240" w:lineRule="auto"/>
        <w:rPr>
          <w:sz w:val="20"/>
          <w:szCs w:val="20"/>
        </w:rPr>
      </w:pPr>
      <w:r w:rsidRPr="00656F73">
        <w:rPr>
          <w:sz w:val="20"/>
          <w:szCs w:val="20"/>
        </w:rPr>
        <w:t xml:space="preserve">Bureau SIGNIFICANCE Suicide is the second leading cause of death for adolescents ages 15 through 19 years. In 2014, there were over 2,000 deaths due to suicide among adolescents ages 15 to 19 years, or 9.8 deaths per 100,000. Suicide and suicidal ideation is often indicative of mental health problems and stressful or traumatic life events. In 2015, 18 percent of high school students reported they had thought seriously about committing suicide in the past year. While females are more likely to report considering suicide, males are more likely to succeed in committing suicide. The suicide mortality rate for males is nearly three times that of females. Heron M. Deaths: Leading Causes for 2014. National Vital Statistics Reports. 2016 June 30. 65(5). https://www.cdc.gov/nchs/data/nvsr/nvsr65/nvsr65_05.pdf Child Trends: Data Bank. Suicidal Teens-Indicators of Child and Youth Well-Being. 2016 December. https://www.childtrends.org/wp-content/uploads/2016/12/34_Suicidal_Teens.pdf </w:t>
      </w:r>
    </w:p>
    <w:p w14:paraId="3D7B6EDE" w14:textId="77777777" w:rsidR="0073360E" w:rsidRPr="00656F73" w:rsidRDefault="0073360E" w:rsidP="0073360E">
      <w:pPr>
        <w:tabs>
          <w:tab w:val="left" w:pos="1086"/>
          <w:tab w:val="left" w:pos="1445"/>
        </w:tabs>
        <w:spacing w:after="0" w:line="240" w:lineRule="auto"/>
        <w:ind w:left="360"/>
        <w:rPr>
          <w:sz w:val="20"/>
          <w:szCs w:val="20"/>
        </w:rPr>
      </w:pPr>
    </w:p>
    <w:p w14:paraId="435906C7" w14:textId="77777777" w:rsidR="00023FA9" w:rsidRPr="00023FA9" w:rsidRDefault="0073360E" w:rsidP="00023FA9">
      <w:pPr>
        <w:tabs>
          <w:tab w:val="left" w:pos="1086"/>
          <w:tab w:val="left" w:pos="1445"/>
        </w:tabs>
        <w:spacing w:after="0" w:line="240" w:lineRule="auto"/>
        <w:rPr>
          <w:sz w:val="18"/>
          <w:szCs w:val="20"/>
        </w:rPr>
      </w:pPr>
      <w:r w:rsidRPr="00023FA9">
        <w:rPr>
          <w:sz w:val="18"/>
          <w:szCs w:val="20"/>
        </w:rPr>
        <w:t>HEALTHY PEOPLE 2020 OBJECTIVE Related to Mental Health and Mental Disorders (MHMD) Objective 1: Reduce the suicide rate. (Baseline: 11.3 suicides per 100,000 in 2007, Target: 10.2 suicides per 100,000) Related to Mental Health and Mental Disorders (MHMD) Objective 2: Reduce suicide attempts by adolescents. (Baseline: 1.9 suicide attempts per 100 occurred in 2009, Target: 1.7 suicide attempts per 100) DATA SOURCES and DATA ISSUES National Vital Statistics System (NVSS) Population estimates come from the U.S. Census</w:t>
      </w:r>
      <w:r w:rsidR="00023FA9" w:rsidRPr="00023FA9">
        <w:rPr>
          <w:sz w:val="18"/>
          <w:szCs w:val="20"/>
        </w:rPr>
        <w:t>.</w:t>
      </w:r>
    </w:p>
    <w:p w14:paraId="4965D436" w14:textId="77777777" w:rsidR="00023FA9" w:rsidRPr="00F70590" w:rsidRDefault="00023FA9" w:rsidP="0073360E">
      <w:pPr>
        <w:tabs>
          <w:tab w:val="left" w:pos="1086"/>
          <w:tab w:val="left" w:pos="1445"/>
        </w:tabs>
        <w:spacing w:after="0" w:line="240" w:lineRule="auto"/>
        <w:ind w:left="360"/>
        <w:rPr>
          <w:sz w:val="12"/>
          <w:szCs w:val="12"/>
        </w:rPr>
      </w:pPr>
    </w:p>
    <w:p w14:paraId="628B063D" w14:textId="77777777" w:rsidR="00023FA9" w:rsidRDefault="00023FA9" w:rsidP="00023FA9">
      <w:pPr>
        <w:tabs>
          <w:tab w:val="left" w:pos="1086"/>
          <w:tab w:val="left" w:pos="1445"/>
        </w:tabs>
        <w:spacing w:after="120" w:line="240" w:lineRule="auto"/>
        <w:rPr>
          <w:b/>
          <w:szCs w:val="20"/>
          <w:u w:val="single"/>
        </w:rPr>
      </w:pPr>
      <w:r w:rsidRPr="00023FA9">
        <w:rPr>
          <w:b/>
          <w:szCs w:val="20"/>
          <w:u w:val="single"/>
        </w:rPr>
        <w:t>NOM 16.1, 2, 3 Data Trends</w:t>
      </w:r>
      <w:r w:rsidR="0073360E" w:rsidRPr="00023FA9">
        <w:rPr>
          <w:b/>
          <w:szCs w:val="20"/>
          <w:u w:val="single"/>
        </w:rPr>
        <w:t xml:space="preserve"> </w:t>
      </w:r>
    </w:p>
    <w:p w14:paraId="0A7B3E36" w14:textId="77777777" w:rsidR="00023FA9" w:rsidRPr="00023FA9" w:rsidRDefault="00023FA9" w:rsidP="00023FA9">
      <w:pPr>
        <w:tabs>
          <w:tab w:val="left" w:pos="1086"/>
          <w:tab w:val="left" w:pos="1445"/>
        </w:tabs>
        <w:spacing w:after="120" w:line="240" w:lineRule="auto"/>
        <w:rPr>
          <w:b/>
          <w:szCs w:val="20"/>
          <w:u w:val="single"/>
        </w:rPr>
      </w:pPr>
      <w:r w:rsidRPr="00023FA9">
        <w:rPr>
          <w:b/>
          <w:noProof/>
          <w:szCs w:val="20"/>
        </w:rPr>
        <w:drawing>
          <wp:inline distT="0" distB="0" distL="0" distR="0" wp14:anchorId="0FEF646A" wp14:editId="6DEBE5EF">
            <wp:extent cx="6838950" cy="2794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38950" cy="279400"/>
                    </a:xfrm>
                    <a:prstGeom prst="rect">
                      <a:avLst/>
                    </a:prstGeom>
                  </pic:spPr>
                </pic:pic>
              </a:graphicData>
            </a:graphic>
          </wp:inline>
        </w:drawing>
      </w:r>
    </w:p>
    <w:p w14:paraId="350E4E3F" w14:textId="77777777" w:rsidR="00023FA9" w:rsidRPr="00656F73" w:rsidRDefault="00023FA9" w:rsidP="00023FA9">
      <w:pPr>
        <w:tabs>
          <w:tab w:val="left" w:pos="1086"/>
          <w:tab w:val="left" w:pos="1445"/>
        </w:tabs>
        <w:spacing w:after="0" w:line="240" w:lineRule="auto"/>
        <w:rPr>
          <w:sz w:val="20"/>
          <w:szCs w:val="20"/>
        </w:rPr>
      </w:pPr>
      <w:r w:rsidRPr="00023FA9">
        <w:rPr>
          <w:noProof/>
          <w:sz w:val="20"/>
          <w:szCs w:val="20"/>
        </w:rPr>
        <w:drawing>
          <wp:inline distT="0" distB="0" distL="0" distR="0" wp14:anchorId="0DE10135" wp14:editId="0BF7F9A4">
            <wp:extent cx="6858000" cy="655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655955"/>
                    </a:xfrm>
                    <a:prstGeom prst="rect">
                      <a:avLst/>
                    </a:prstGeom>
                  </pic:spPr>
                </pic:pic>
              </a:graphicData>
            </a:graphic>
          </wp:inline>
        </w:drawing>
      </w:r>
    </w:p>
    <w:p w14:paraId="00DC9C4F" w14:textId="77777777" w:rsidR="0073360E" w:rsidRDefault="0073360E" w:rsidP="00023FA9">
      <w:pPr>
        <w:spacing w:after="0" w:line="240" w:lineRule="auto"/>
        <w:rPr>
          <w:b/>
          <w:sz w:val="20"/>
          <w:szCs w:val="20"/>
        </w:rPr>
      </w:pPr>
    </w:p>
    <w:p w14:paraId="0843A95E" w14:textId="77777777" w:rsidR="00023FA9" w:rsidRDefault="00023FA9" w:rsidP="00023FA9">
      <w:pPr>
        <w:spacing w:after="0" w:line="240" w:lineRule="auto"/>
        <w:rPr>
          <w:b/>
          <w:szCs w:val="20"/>
          <w:u w:val="single"/>
        </w:rPr>
      </w:pPr>
      <w:r>
        <w:rPr>
          <w:b/>
          <w:szCs w:val="20"/>
          <w:u w:val="single"/>
        </w:rPr>
        <w:t xml:space="preserve">Additional </w:t>
      </w:r>
      <w:r w:rsidR="0073360E" w:rsidRPr="00023FA9">
        <w:rPr>
          <w:b/>
          <w:szCs w:val="20"/>
          <w:u w:val="single"/>
        </w:rPr>
        <w:t>Kansas Data</w:t>
      </w:r>
    </w:p>
    <w:p w14:paraId="26C53EC6" w14:textId="77777777" w:rsidR="00023FA9" w:rsidRDefault="0073360E" w:rsidP="00023FA9">
      <w:pPr>
        <w:pStyle w:val="ListParagraph"/>
        <w:numPr>
          <w:ilvl w:val="0"/>
          <w:numId w:val="22"/>
        </w:numPr>
        <w:spacing w:after="0" w:line="240" w:lineRule="auto"/>
        <w:rPr>
          <w:b/>
          <w:szCs w:val="20"/>
          <w:u w:val="single"/>
        </w:rPr>
      </w:pPr>
      <w:r w:rsidRPr="00023FA9">
        <w:rPr>
          <w:sz w:val="20"/>
          <w:szCs w:val="20"/>
        </w:rPr>
        <w:t>Vital Statistics (2013-2017) – See Table 1</w:t>
      </w:r>
    </w:p>
    <w:p w14:paraId="7805F5ED" w14:textId="77777777" w:rsidR="00023FA9" w:rsidRDefault="0073360E" w:rsidP="00023FA9">
      <w:pPr>
        <w:pStyle w:val="ListParagraph"/>
        <w:numPr>
          <w:ilvl w:val="1"/>
          <w:numId w:val="22"/>
        </w:numPr>
        <w:spacing w:after="0" w:line="240" w:lineRule="auto"/>
        <w:rPr>
          <w:b/>
          <w:szCs w:val="20"/>
          <w:u w:val="single"/>
        </w:rPr>
      </w:pPr>
      <w:r w:rsidRPr="00023FA9">
        <w:rPr>
          <w:sz w:val="20"/>
          <w:szCs w:val="20"/>
        </w:rPr>
        <w:t>Suicide is 2</w:t>
      </w:r>
      <w:r w:rsidRPr="00023FA9">
        <w:rPr>
          <w:sz w:val="20"/>
          <w:szCs w:val="20"/>
          <w:vertAlign w:val="superscript"/>
        </w:rPr>
        <w:t>nd</w:t>
      </w:r>
      <w:r w:rsidRPr="00023FA9">
        <w:rPr>
          <w:sz w:val="20"/>
          <w:szCs w:val="20"/>
        </w:rPr>
        <w:t xml:space="preserve"> leading cause of death for 25-44 and 15-24; 3</w:t>
      </w:r>
      <w:r w:rsidRPr="00023FA9">
        <w:rPr>
          <w:sz w:val="20"/>
          <w:szCs w:val="20"/>
          <w:vertAlign w:val="superscript"/>
        </w:rPr>
        <w:t>rd</w:t>
      </w:r>
      <w:r w:rsidRPr="00023FA9">
        <w:rPr>
          <w:sz w:val="20"/>
          <w:szCs w:val="20"/>
        </w:rPr>
        <w:t xml:space="preserve"> leading cause for 5-14 years</w:t>
      </w:r>
    </w:p>
    <w:p w14:paraId="17B86BF1" w14:textId="77777777" w:rsidR="00023FA9" w:rsidRDefault="0073360E" w:rsidP="00023FA9">
      <w:pPr>
        <w:pStyle w:val="ListParagraph"/>
        <w:numPr>
          <w:ilvl w:val="1"/>
          <w:numId w:val="22"/>
        </w:numPr>
        <w:spacing w:after="0" w:line="240" w:lineRule="auto"/>
        <w:rPr>
          <w:b/>
          <w:szCs w:val="20"/>
          <w:u w:val="single"/>
        </w:rPr>
      </w:pPr>
      <w:r w:rsidRPr="00023FA9">
        <w:rPr>
          <w:sz w:val="20"/>
          <w:szCs w:val="20"/>
        </w:rPr>
        <w:t xml:space="preserve">Increasing trend over the last five years </w:t>
      </w:r>
    </w:p>
    <w:p w14:paraId="1911A889" w14:textId="77777777" w:rsidR="00023FA9" w:rsidRDefault="0073360E" w:rsidP="00023FA9">
      <w:pPr>
        <w:pStyle w:val="ListParagraph"/>
        <w:numPr>
          <w:ilvl w:val="1"/>
          <w:numId w:val="22"/>
        </w:numPr>
        <w:spacing w:after="0" w:line="240" w:lineRule="auto"/>
        <w:rPr>
          <w:b/>
          <w:szCs w:val="20"/>
          <w:u w:val="single"/>
        </w:rPr>
      </w:pPr>
      <w:r w:rsidRPr="00023FA9">
        <w:rPr>
          <w:sz w:val="20"/>
          <w:szCs w:val="20"/>
        </w:rPr>
        <w:t>5.7% of all suicides are individuals less than 18 years</w:t>
      </w:r>
    </w:p>
    <w:p w14:paraId="557B5B25" w14:textId="6C67B3CB" w:rsidR="0073360E" w:rsidRPr="00023FA9" w:rsidRDefault="0073360E" w:rsidP="00023FA9">
      <w:pPr>
        <w:pStyle w:val="ListParagraph"/>
        <w:numPr>
          <w:ilvl w:val="0"/>
          <w:numId w:val="22"/>
        </w:numPr>
        <w:spacing w:after="0" w:line="240" w:lineRule="auto"/>
        <w:rPr>
          <w:b/>
          <w:szCs w:val="20"/>
          <w:u w:val="single"/>
        </w:rPr>
      </w:pPr>
      <w:r w:rsidRPr="00023FA9">
        <w:rPr>
          <w:sz w:val="20"/>
          <w:szCs w:val="20"/>
        </w:rPr>
        <w:t xml:space="preserve">Youth </w:t>
      </w:r>
      <w:r w:rsidR="00F70590">
        <w:rPr>
          <w:sz w:val="20"/>
          <w:szCs w:val="20"/>
        </w:rPr>
        <w:t xml:space="preserve">Risk </w:t>
      </w:r>
      <w:r w:rsidRPr="00023FA9">
        <w:rPr>
          <w:sz w:val="20"/>
          <w:szCs w:val="20"/>
        </w:rPr>
        <w:t>Behavior Survey (Y</w:t>
      </w:r>
      <w:r w:rsidR="00F70590">
        <w:rPr>
          <w:sz w:val="20"/>
          <w:szCs w:val="20"/>
        </w:rPr>
        <w:t>RB</w:t>
      </w:r>
      <w:r w:rsidRPr="00023FA9">
        <w:rPr>
          <w:sz w:val="20"/>
          <w:szCs w:val="20"/>
        </w:rPr>
        <w:t>S) (2017, males and females)</w:t>
      </w:r>
      <w:r w:rsidR="00817098">
        <w:rPr>
          <w:sz w:val="20"/>
          <w:szCs w:val="20"/>
        </w:rPr>
        <w:t xml:space="preserve">  </w:t>
      </w:r>
    </w:p>
    <w:p w14:paraId="7864904D" w14:textId="77777777" w:rsidR="0073360E" w:rsidRPr="00656F73" w:rsidRDefault="0073360E" w:rsidP="00023FA9">
      <w:pPr>
        <w:pStyle w:val="ListParagraph"/>
        <w:numPr>
          <w:ilvl w:val="1"/>
          <w:numId w:val="20"/>
        </w:numPr>
        <w:spacing w:after="0" w:line="240" w:lineRule="auto"/>
        <w:rPr>
          <w:sz w:val="20"/>
          <w:szCs w:val="20"/>
        </w:rPr>
      </w:pPr>
      <w:r w:rsidRPr="00656F73">
        <w:rPr>
          <w:sz w:val="20"/>
          <w:szCs w:val="20"/>
        </w:rPr>
        <w:t>15.6% seriously considered suicide</w:t>
      </w:r>
    </w:p>
    <w:p w14:paraId="4500CF76" w14:textId="77777777" w:rsidR="0073360E" w:rsidRPr="00656F73" w:rsidRDefault="0073360E" w:rsidP="00023FA9">
      <w:pPr>
        <w:pStyle w:val="ListParagraph"/>
        <w:numPr>
          <w:ilvl w:val="1"/>
          <w:numId w:val="20"/>
        </w:numPr>
        <w:spacing w:after="0" w:line="240" w:lineRule="auto"/>
        <w:rPr>
          <w:sz w:val="20"/>
          <w:szCs w:val="20"/>
        </w:rPr>
      </w:pPr>
      <w:r w:rsidRPr="00656F73">
        <w:rPr>
          <w:sz w:val="20"/>
          <w:szCs w:val="20"/>
        </w:rPr>
        <w:t xml:space="preserve">11.8% made a plan </w:t>
      </w:r>
    </w:p>
    <w:p w14:paraId="4B23B483" w14:textId="77777777" w:rsidR="00023FA9" w:rsidRDefault="0073360E" w:rsidP="00023FA9">
      <w:pPr>
        <w:pStyle w:val="ListParagraph"/>
        <w:numPr>
          <w:ilvl w:val="1"/>
          <w:numId w:val="20"/>
        </w:numPr>
        <w:spacing w:after="0" w:line="240" w:lineRule="auto"/>
        <w:rPr>
          <w:sz w:val="20"/>
          <w:szCs w:val="20"/>
        </w:rPr>
      </w:pPr>
      <w:r w:rsidRPr="00656F73">
        <w:rPr>
          <w:sz w:val="20"/>
          <w:szCs w:val="20"/>
        </w:rPr>
        <w:t xml:space="preserve">7.1% attempted </w:t>
      </w:r>
    </w:p>
    <w:p w14:paraId="711AD97B" w14:textId="77777777" w:rsidR="0073360E" w:rsidRPr="00F70590" w:rsidRDefault="0073360E" w:rsidP="00023FA9">
      <w:pPr>
        <w:pStyle w:val="ListParagraph"/>
        <w:numPr>
          <w:ilvl w:val="0"/>
          <w:numId w:val="26"/>
        </w:numPr>
        <w:spacing w:after="0" w:line="240" w:lineRule="auto"/>
        <w:rPr>
          <w:color w:val="000000" w:themeColor="text1"/>
          <w:sz w:val="20"/>
          <w:szCs w:val="20"/>
        </w:rPr>
      </w:pPr>
      <w:r w:rsidRPr="00F70590">
        <w:rPr>
          <w:color w:val="000000" w:themeColor="text1"/>
          <w:sz w:val="20"/>
          <w:szCs w:val="20"/>
        </w:rPr>
        <w:t>K</w:t>
      </w:r>
      <w:r w:rsidR="0068418A" w:rsidRPr="00F70590">
        <w:rPr>
          <w:color w:val="000000" w:themeColor="text1"/>
          <w:sz w:val="20"/>
          <w:szCs w:val="20"/>
        </w:rPr>
        <w:t>ansas</w:t>
      </w:r>
      <w:r w:rsidRPr="00F70590">
        <w:rPr>
          <w:color w:val="000000" w:themeColor="text1"/>
          <w:sz w:val="20"/>
          <w:szCs w:val="20"/>
        </w:rPr>
        <w:t xml:space="preserve"> Co</w:t>
      </w:r>
      <w:r w:rsidR="0068418A" w:rsidRPr="00F70590">
        <w:rPr>
          <w:color w:val="000000" w:themeColor="text1"/>
          <w:sz w:val="20"/>
          <w:szCs w:val="20"/>
        </w:rPr>
        <w:t>mmunities That Care (KCTC) (2019</w:t>
      </w:r>
      <w:r w:rsidRPr="00F70590">
        <w:rPr>
          <w:color w:val="000000" w:themeColor="text1"/>
          <w:sz w:val="20"/>
          <w:szCs w:val="20"/>
        </w:rPr>
        <w:t>; 6</w:t>
      </w:r>
      <w:r w:rsidRPr="00F70590">
        <w:rPr>
          <w:color w:val="000000" w:themeColor="text1"/>
          <w:sz w:val="20"/>
          <w:szCs w:val="20"/>
          <w:vertAlign w:val="superscript"/>
        </w:rPr>
        <w:t>th</w:t>
      </w:r>
      <w:r w:rsidRPr="00F70590">
        <w:rPr>
          <w:color w:val="000000" w:themeColor="text1"/>
          <w:sz w:val="20"/>
          <w:szCs w:val="20"/>
        </w:rPr>
        <w:t>, 8</w:t>
      </w:r>
      <w:r w:rsidRPr="00F70590">
        <w:rPr>
          <w:color w:val="000000" w:themeColor="text1"/>
          <w:sz w:val="20"/>
          <w:szCs w:val="20"/>
          <w:vertAlign w:val="superscript"/>
        </w:rPr>
        <w:t>th</w:t>
      </w:r>
      <w:r w:rsidRPr="00F70590">
        <w:rPr>
          <w:color w:val="000000" w:themeColor="text1"/>
          <w:sz w:val="20"/>
          <w:szCs w:val="20"/>
        </w:rPr>
        <w:t>, 10</w:t>
      </w:r>
      <w:r w:rsidRPr="00F70590">
        <w:rPr>
          <w:color w:val="000000" w:themeColor="text1"/>
          <w:sz w:val="20"/>
          <w:szCs w:val="20"/>
          <w:vertAlign w:val="superscript"/>
        </w:rPr>
        <w:t>th</w:t>
      </w:r>
      <w:r w:rsidRPr="00F70590">
        <w:rPr>
          <w:color w:val="000000" w:themeColor="text1"/>
          <w:sz w:val="20"/>
          <w:szCs w:val="20"/>
        </w:rPr>
        <w:t>, and 12</w:t>
      </w:r>
      <w:r w:rsidRPr="00F70590">
        <w:rPr>
          <w:color w:val="000000" w:themeColor="text1"/>
          <w:sz w:val="20"/>
          <w:szCs w:val="20"/>
          <w:vertAlign w:val="superscript"/>
        </w:rPr>
        <w:t>th</w:t>
      </w:r>
      <w:r w:rsidRPr="00F70590">
        <w:rPr>
          <w:color w:val="000000" w:themeColor="text1"/>
          <w:sz w:val="20"/>
          <w:szCs w:val="20"/>
        </w:rPr>
        <w:t xml:space="preserve"> Grades) </w:t>
      </w:r>
    </w:p>
    <w:p w14:paraId="2E163AAC" w14:textId="77777777" w:rsidR="0073360E" w:rsidRPr="00F70590" w:rsidRDefault="0068418A" w:rsidP="00023FA9">
      <w:pPr>
        <w:pStyle w:val="ListParagraph"/>
        <w:numPr>
          <w:ilvl w:val="1"/>
          <w:numId w:val="20"/>
        </w:numPr>
        <w:spacing w:after="0" w:line="240" w:lineRule="auto"/>
        <w:rPr>
          <w:color w:val="000000" w:themeColor="text1"/>
          <w:sz w:val="20"/>
          <w:szCs w:val="20"/>
        </w:rPr>
      </w:pPr>
      <w:r w:rsidRPr="00F70590">
        <w:rPr>
          <w:color w:val="000000" w:themeColor="text1"/>
          <w:sz w:val="20"/>
          <w:szCs w:val="20"/>
        </w:rPr>
        <w:t>18.7</w:t>
      </w:r>
      <w:r w:rsidR="0073360E" w:rsidRPr="00F70590">
        <w:rPr>
          <w:color w:val="000000" w:themeColor="text1"/>
          <w:sz w:val="20"/>
          <w:szCs w:val="20"/>
        </w:rPr>
        <w:t>% of students reported thoughts of suicide</w:t>
      </w:r>
    </w:p>
    <w:p w14:paraId="25D59D0C" w14:textId="77777777" w:rsidR="0073360E" w:rsidRPr="00F70590" w:rsidRDefault="0068418A" w:rsidP="00023FA9">
      <w:pPr>
        <w:pStyle w:val="ListParagraph"/>
        <w:numPr>
          <w:ilvl w:val="1"/>
          <w:numId w:val="20"/>
        </w:numPr>
        <w:spacing w:after="0" w:line="240" w:lineRule="auto"/>
        <w:rPr>
          <w:color w:val="000000" w:themeColor="text1"/>
          <w:sz w:val="20"/>
          <w:szCs w:val="20"/>
        </w:rPr>
      </w:pPr>
      <w:r w:rsidRPr="00F70590">
        <w:rPr>
          <w:color w:val="000000" w:themeColor="text1"/>
          <w:sz w:val="20"/>
          <w:szCs w:val="20"/>
        </w:rPr>
        <w:t>10.7</w:t>
      </w:r>
      <w:r w:rsidR="0073360E" w:rsidRPr="00F70590">
        <w:rPr>
          <w:color w:val="000000" w:themeColor="text1"/>
          <w:sz w:val="20"/>
          <w:szCs w:val="20"/>
        </w:rPr>
        <w:t>% made a plan</w:t>
      </w:r>
    </w:p>
    <w:p w14:paraId="0EF6908E" w14:textId="77777777" w:rsidR="0073360E" w:rsidRPr="00F70590" w:rsidRDefault="0068418A" w:rsidP="00023FA9">
      <w:pPr>
        <w:pStyle w:val="ListParagraph"/>
        <w:numPr>
          <w:ilvl w:val="1"/>
          <w:numId w:val="20"/>
        </w:numPr>
        <w:spacing w:after="0" w:line="240" w:lineRule="auto"/>
        <w:rPr>
          <w:color w:val="000000" w:themeColor="text1"/>
          <w:sz w:val="20"/>
          <w:szCs w:val="20"/>
        </w:rPr>
      </w:pPr>
      <w:r w:rsidRPr="00F70590">
        <w:rPr>
          <w:color w:val="000000" w:themeColor="text1"/>
          <w:sz w:val="20"/>
          <w:szCs w:val="20"/>
        </w:rPr>
        <w:t>4.3</w:t>
      </w:r>
      <w:r w:rsidR="0073360E" w:rsidRPr="00F70590">
        <w:rPr>
          <w:color w:val="000000" w:themeColor="text1"/>
          <w:sz w:val="20"/>
          <w:szCs w:val="20"/>
        </w:rPr>
        <w:t xml:space="preserve">% made an attempt </w:t>
      </w:r>
    </w:p>
    <w:p w14:paraId="24145E18" w14:textId="77777777" w:rsidR="00023FA9" w:rsidRPr="00656F73" w:rsidRDefault="00023FA9" w:rsidP="00023FA9">
      <w:pPr>
        <w:pStyle w:val="ListParagraph"/>
        <w:spacing w:after="0" w:line="240" w:lineRule="auto"/>
        <w:ind w:left="1440"/>
        <w:rPr>
          <w:sz w:val="20"/>
          <w:szCs w:val="20"/>
        </w:rPr>
      </w:pPr>
    </w:p>
    <w:tbl>
      <w:tblPr>
        <w:tblW w:w="4341" w:type="dxa"/>
        <w:jc w:val="center"/>
        <w:tblLook w:val="04A0" w:firstRow="1" w:lastRow="0" w:firstColumn="1" w:lastColumn="0" w:noHBand="0" w:noVBand="1"/>
      </w:tblPr>
      <w:tblGrid>
        <w:gridCol w:w="706"/>
        <w:gridCol w:w="1080"/>
        <w:gridCol w:w="1123"/>
        <w:gridCol w:w="1432"/>
      </w:tblGrid>
      <w:tr w:rsidR="0073360E" w:rsidRPr="009E03DD" w14:paraId="5FFB5CAA" w14:textId="77777777" w:rsidTr="00F70590">
        <w:trPr>
          <w:trHeight w:val="300"/>
          <w:jc w:val="center"/>
        </w:trPr>
        <w:tc>
          <w:tcPr>
            <w:tcW w:w="4341" w:type="dxa"/>
            <w:gridSpan w:val="4"/>
            <w:tcBorders>
              <w:top w:val="single" w:sz="8" w:space="0" w:color="auto"/>
              <w:left w:val="single" w:sz="8" w:space="0" w:color="auto"/>
              <w:bottom w:val="nil"/>
              <w:right w:val="single" w:sz="8" w:space="0" w:color="000000"/>
            </w:tcBorders>
            <w:shd w:val="clear" w:color="auto" w:fill="auto"/>
            <w:noWrap/>
            <w:vAlign w:val="center"/>
            <w:hideMark/>
          </w:tcPr>
          <w:p w14:paraId="3C6A95A3" w14:textId="77777777" w:rsidR="0073360E" w:rsidRPr="009E03DD" w:rsidRDefault="0073360E" w:rsidP="00F70590">
            <w:pPr>
              <w:spacing w:before="40" w:after="40"/>
              <w:jc w:val="center"/>
              <w:rPr>
                <w:rFonts w:eastAsia="Times New Roman" w:cs="Arial"/>
                <w:color w:val="000000"/>
                <w:sz w:val="20"/>
                <w:szCs w:val="20"/>
              </w:rPr>
            </w:pPr>
            <w:r w:rsidRPr="009E03DD">
              <w:rPr>
                <w:rFonts w:eastAsia="Times New Roman" w:cs="Arial"/>
                <w:color w:val="000000"/>
                <w:sz w:val="20"/>
                <w:szCs w:val="20"/>
              </w:rPr>
              <w:t>Table 1.</w:t>
            </w:r>
          </w:p>
        </w:tc>
      </w:tr>
      <w:tr w:rsidR="0073360E" w:rsidRPr="009E03DD" w14:paraId="3CAEB67C" w14:textId="77777777" w:rsidTr="00F70590">
        <w:trPr>
          <w:trHeight w:val="300"/>
          <w:jc w:val="center"/>
        </w:trPr>
        <w:tc>
          <w:tcPr>
            <w:tcW w:w="4341" w:type="dxa"/>
            <w:gridSpan w:val="4"/>
            <w:tcBorders>
              <w:top w:val="nil"/>
              <w:left w:val="single" w:sz="8" w:space="0" w:color="auto"/>
              <w:bottom w:val="nil"/>
              <w:right w:val="single" w:sz="8" w:space="0" w:color="000000"/>
            </w:tcBorders>
            <w:shd w:val="clear" w:color="auto" w:fill="auto"/>
            <w:noWrap/>
            <w:vAlign w:val="center"/>
            <w:hideMark/>
          </w:tcPr>
          <w:p w14:paraId="491EC66A" w14:textId="77777777" w:rsidR="0073360E" w:rsidRPr="009E03DD" w:rsidRDefault="0073360E" w:rsidP="00F70590">
            <w:pPr>
              <w:spacing w:before="40" w:after="40" w:line="240" w:lineRule="auto"/>
              <w:jc w:val="center"/>
              <w:rPr>
                <w:rFonts w:eastAsia="Times New Roman" w:cs="Arial"/>
                <w:color w:val="000000"/>
                <w:sz w:val="20"/>
                <w:szCs w:val="20"/>
              </w:rPr>
            </w:pPr>
            <w:r w:rsidRPr="009E03DD">
              <w:rPr>
                <w:rFonts w:eastAsia="Times New Roman" w:cs="Arial"/>
                <w:color w:val="000000"/>
                <w:sz w:val="20"/>
                <w:szCs w:val="20"/>
              </w:rPr>
              <w:t>Suicides of youth 17 and younger, by count</w:t>
            </w:r>
          </w:p>
        </w:tc>
      </w:tr>
      <w:tr w:rsidR="0073360E" w:rsidRPr="009E03DD" w14:paraId="0CB2040B" w14:textId="77777777" w:rsidTr="00F70590">
        <w:trPr>
          <w:trHeight w:val="300"/>
          <w:jc w:val="center"/>
        </w:trPr>
        <w:tc>
          <w:tcPr>
            <w:tcW w:w="4341" w:type="dxa"/>
            <w:gridSpan w:val="4"/>
            <w:tcBorders>
              <w:top w:val="nil"/>
              <w:left w:val="single" w:sz="8" w:space="0" w:color="auto"/>
              <w:bottom w:val="nil"/>
              <w:right w:val="single" w:sz="8" w:space="0" w:color="000000"/>
            </w:tcBorders>
            <w:shd w:val="clear" w:color="auto" w:fill="auto"/>
            <w:noWrap/>
            <w:vAlign w:val="center"/>
            <w:hideMark/>
          </w:tcPr>
          <w:p w14:paraId="159B950E" w14:textId="77777777" w:rsidR="0073360E" w:rsidRPr="009E03DD" w:rsidRDefault="0073360E" w:rsidP="00F70590">
            <w:pPr>
              <w:spacing w:before="40" w:after="40"/>
              <w:jc w:val="center"/>
              <w:rPr>
                <w:rFonts w:eastAsia="Times New Roman" w:cs="Arial"/>
                <w:color w:val="000000"/>
                <w:sz w:val="20"/>
                <w:szCs w:val="20"/>
              </w:rPr>
            </w:pPr>
            <w:r w:rsidRPr="009E03DD">
              <w:rPr>
                <w:rFonts w:eastAsia="Times New Roman" w:cs="Arial"/>
                <w:color w:val="000000"/>
                <w:sz w:val="20"/>
                <w:szCs w:val="20"/>
              </w:rPr>
              <w:t>and percent of all suicides, Kansas residents</w:t>
            </w:r>
          </w:p>
        </w:tc>
      </w:tr>
      <w:tr w:rsidR="0073360E" w:rsidRPr="009E03DD" w14:paraId="72DF7A22" w14:textId="77777777" w:rsidTr="00F70590">
        <w:trPr>
          <w:trHeight w:val="315"/>
          <w:jc w:val="center"/>
        </w:trPr>
        <w:tc>
          <w:tcPr>
            <w:tcW w:w="4341" w:type="dxa"/>
            <w:gridSpan w:val="4"/>
            <w:tcBorders>
              <w:top w:val="nil"/>
              <w:left w:val="single" w:sz="8" w:space="0" w:color="auto"/>
              <w:bottom w:val="single" w:sz="8" w:space="0" w:color="auto"/>
              <w:right w:val="single" w:sz="8" w:space="0" w:color="000000"/>
            </w:tcBorders>
            <w:shd w:val="clear" w:color="auto" w:fill="auto"/>
            <w:noWrap/>
            <w:vAlign w:val="center"/>
            <w:hideMark/>
          </w:tcPr>
          <w:p w14:paraId="2451D830" w14:textId="77777777" w:rsidR="0073360E" w:rsidRPr="009E03DD" w:rsidRDefault="0073360E" w:rsidP="00F70590">
            <w:pPr>
              <w:spacing w:before="40" w:after="40"/>
              <w:jc w:val="center"/>
              <w:rPr>
                <w:rFonts w:eastAsia="Times New Roman" w:cs="Arial"/>
                <w:color w:val="000000"/>
                <w:sz w:val="20"/>
                <w:szCs w:val="20"/>
              </w:rPr>
            </w:pPr>
            <w:r w:rsidRPr="009E03DD">
              <w:rPr>
                <w:rFonts w:eastAsia="Times New Roman" w:cs="Arial"/>
                <w:color w:val="000000"/>
                <w:sz w:val="20"/>
                <w:szCs w:val="20"/>
              </w:rPr>
              <w:t>2013-2017</w:t>
            </w:r>
          </w:p>
        </w:tc>
      </w:tr>
      <w:tr w:rsidR="0073360E" w:rsidRPr="009E03DD" w14:paraId="625980A5" w14:textId="77777777" w:rsidTr="00F70590">
        <w:trPr>
          <w:trHeight w:val="259"/>
          <w:jc w:val="center"/>
        </w:trPr>
        <w:tc>
          <w:tcPr>
            <w:tcW w:w="706" w:type="dxa"/>
            <w:tcBorders>
              <w:top w:val="nil"/>
              <w:left w:val="single" w:sz="8" w:space="0" w:color="auto"/>
              <w:bottom w:val="single" w:sz="4" w:space="0" w:color="auto"/>
              <w:right w:val="single" w:sz="4" w:space="0" w:color="auto"/>
            </w:tcBorders>
            <w:shd w:val="clear" w:color="auto" w:fill="auto"/>
            <w:noWrap/>
            <w:vAlign w:val="center"/>
            <w:hideMark/>
          </w:tcPr>
          <w:p w14:paraId="025D5C3F" w14:textId="38E1B487" w:rsidR="0073360E" w:rsidRPr="009E03DD" w:rsidRDefault="0073360E" w:rsidP="00F70590">
            <w:pPr>
              <w:spacing w:after="0"/>
              <w:jc w:val="center"/>
              <w:rPr>
                <w:rFonts w:eastAsia="Times New Roman" w:cs="Arial"/>
                <w:color w:val="000000"/>
                <w:sz w:val="20"/>
                <w:szCs w:val="20"/>
              </w:rPr>
            </w:pPr>
          </w:p>
        </w:tc>
        <w:tc>
          <w:tcPr>
            <w:tcW w:w="2203" w:type="dxa"/>
            <w:gridSpan w:val="2"/>
            <w:tcBorders>
              <w:top w:val="single" w:sz="8" w:space="0" w:color="auto"/>
              <w:left w:val="nil"/>
              <w:bottom w:val="single" w:sz="4" w:space="0" w:color="auto"/>
              <w:right w:val="single" w:sz="4" w:space="0" w:color="auto"/>
            </w:tcBorders>
            <w:shd w:val="clear" w:color="auto" w:fill="auto"/>
            <w:noWrap/>
            <w:vAlign w:val="center"/>
            <w:hideMark/>
          </w:tcPr>
          <w:p w14:paraId="52A893F5" w14:textId="77777777" w:rsidR="0073360E" w:rsidRPr="009E03DD" w:rsidRDefault="0073360E" w:rsidP="00F70590">
            <w:pPr>
              <w:spacing w:before="40" w:after="40"/>
              <w:jc w:val="center"/>
              <w:rPr>
                <w:rFonts w:eastAsia="Times New Roman" w:cs="Arial"/>
                <w:color w:val="000000"/>
                <w:sz w:val="20"/>
                <w:szCs w:val="20"/>
              </w:rPr>
            </w:pPr>
            <w:r w:rsidRPr="009E03DD">
              <w:rPr>
                <w:rFonts w:eastAsia="Times New Roman" w:cs="Arial"/>
                <w:color w:val="000000"/>
                <w:sz w:val="20"/>
                <w:szCs w:val="20"/>
              </w:rPr>
              <w:t>Suicides</w:t>
            </w:r>
          </w:p>
        </w:tc>
        <w:tc>
          <w:tcPr>
            <w:tcW w:w="1432" w:type="dxa"/>
            <w:tcBorders>
              <w:top w:val="nil"/>
              <w:left w:val="nil"/>
              <w:bottom w:val="single" w:sz="4" w:space="0" w:color="auto"/>
              <w:right w:val="single" w:sz="8" w:space="0" w:color="auto"/>
            </w:tcBorders>
            <w:shd w:val="clear" w:color="auto" w:fill="auto"/>
            <w:noWrap/>
            <w:vAlign w:val="center"/>
            <w:hideMark/>
          </w:tcPr>
          <w:p w14:paraId="28410B41" w14:textId="45D780D3" w:rsidR="0073360E" w:rsidRPr="009E03DD" w:rsidRDefault="0073360E" w:rsidP="00F70590">
            <w:pPr>
              <w:spacing w:before="40" w:after="40"/>
              <w:jc w:val="center"/>
              <w:rPr>
                <w:rFonts w:eastAsia="Times New Roman" w:cs="Arial"/>
                <w:color w:val="000000"/>
                <w:sz w:val="20"/>
                <w:szCs w:val="20"/>
              </w:rPr>
            </w:pPr>
          </w:p>
        </w:tc>
      </w:tr>
      <w:tr w:rsidR="0073360E" w:rsidRPr="009E03DD" w14:paraId="1F6360A0" w14:textId="77777777" w:rsidTr="00F70590">
        <w:trPr>
          <w:trHeight w:val="300"/>
          <w:jc w:val="center"/>
        </w:trPr>
        <w:tc>
          <w:tcPr>
            <w:tcW w:w="706" w:type="dxa"/>
            <w:tcBorders>
              <w:top w:val="nil"/>
              <w:left w:val="single" w:sz="8" w:space="0" w:color="auto"/>
              <w:bottom w:val="single" w:sz="4" w:space="0" w:color="auto"/>
              <w:right w:val="single" w:sz="4" w:space="0" w:color="auto"/>
            </w:tcBorders>
            <w:shd w:val="clear" w:color="auto" w:fill="auto"/>
            <w:noWrap/>
            <w:vAlign w:val="center"/>
            <w:hideMark/>
          </w:tcPr>
          <w:p w14:paraId="1EA93773" w14:textId="77777777" w:rsidR="0073360E" w:rsidRPr="009E03DD" w:rsidRDefault="0073360E" w:rsidP="00F70590">
            <w:pPr>
              <w:spacing w:after="0"/>
              <w:jc w:val="center"/>
              <w:rPr>
                <w:rFonts w:eastAsia="Times New Roman" w:cs="Arial"/>
                <w:color w:val="000000"/>
                <w:sz w:val="20"/>
                <w:szCs w:val="20"/>
              </w:rPr>
            </w:pPr>
            <w:r w:rsidRPr="009E03DD">
              <w:rPr>
                <w:rFonts w:eastAsia="Times New Roman" w:cs="Arial"/>
                <w:color w:val="000000"/>
                <w:sz w:val="20"/>
                <w:szCs w:val="20"/>
              </w:rPr>
              <w:t>Year</w:t>
            </w:r>
          </w:p>
        </w:tc>
        <w:tc>
          <w:tcPr>
            <w:tcW w:w="1080" w:type="dxa"/>
            <w:tcBorders>
              <w:top w:val="nil"/>
              <w:left w:val="nil"/>
              <w:bottom w:val="single" w:sz="4" w:space="0" w:color="auto"/>
              <w:right w:val="single" w:sz="4" w:space="0" w:color="auto"/>
            </w:tcBorders>
            <w:shd w:val="clear" w:color="auto" w:fill="auto"/>
            <w:vAlign w:val="center"/>
            <w:hideMark/>
          </w:tcPr>
          <w:p w14:paraId="5CC0F3C4" w14:textId="77777777" w:rsidR="0073360E" w:rsidRPr="009E03DD" w:rsidRDefault="0073360E" w:rsidP="00F70590">
            <w:pPr>
              <w:spacing w:before="40" w:after="40"/>
              <w:jc w:val="center"/>
              <w:rPr>
                <w:rFonts w:eastAsia="Times New Roman" w:cs="Arial"/>
                <w:color w:val="000000"/>
                <w:sz w:val="20"/>
                <w:szCs w:val="20"/>
              </w:rPr>
            </w:pPr>
            <w:r w:rsidRPr="009E03DD">
              <w:rPr>
                <w:rFonts w:eastAsia="Times New Roman" w:cs="Arial"/>
                <w:color w:val="000000"/>
                <w:sz w:val="20"/>
                <w:szCs w:val="20"/>
              </w:rPr>
              <w:t>All ages</w:t>
            </w:r>
          </w:p>
        </w:tc>
        <w:tc>
          <w:tcPr>
            <w:tcW w:w="1123" w:type="dxa"/>
            <w:tcBorders>
              <w:top w:val="nil"/>
              <w:left w:val="nil"/>
              <w:bottom w:val="single" w:sz="4" w:space="0" w:color="auto"/>
              <w:right w:val="single" w:sz="4" w:space="0" w:color="auto"/>
            </w:tcBorders>
            <w:shd w:val="clear" w:color="auto" w:fill="auto"/>
            <w:noWrap/>
            <w:vAlign w:val="center"/>
            <w:hideMark/>
          </w:tcPr>
          <w:p w14:paraId="7154A0DC" w14:textId="77777777" w:rsidR="0073360E" w:rsidRPr="009E03DD" w:rsidRDefault="0073360E" w:rsidP="00F70590">
            <w:pPr>
              <w:spacing w:before="40" w:after="40"/>
              <w:jc w:val="center"/>
              <w:rPr>
                <w:rFonts w:eastAsia="Times New Roman" w:cs="Arial"/>
                <w:color w:val="000000"/>
                <w:sz w:val="20"/>
                <w:szCs w:val="20"/>
              </w:rPr>
            </w:pPr>
            <w:r w:rsidRPr="009E03DD">
              <w:rPr>
                <w:rFonts w:eastAsia="Times New Roman" w:cs="Arial"/>
                <w:color w:val="000000"/>
                <w:sz w:val="20"/>
                <w:szCs w:val="20"/>
              </w:rPr>
              <w:t>Under 18</w:t>
            </w:r>
          </w:p>
        </w:tc>
        <w:tc>
          <w:tcPr>
            <w:tcW w:w="1432" w:type="dxa"/>
            <w:tcBorders>
              <w:top w:val="nil"/>
              <w:left w:val="nil"/>
              <w:bottom w:val="single" w:sz="4" w:space="0" w:color="auto"/>
              <w:right w:val="single" w:sz="8" w:space="0" w:color="auto"/>
            </w:tcBorders>
            <w:shd w:val="clear" w:color="auto" w:fill="auto"/>
            <w:noWrap/>
            <w:vAlign w:val="center"/>
            <w:hideMark/>
          </w:tcPr>
          <w:p w14:paraId="56ABFF06" w14:textId="77777777" w:rsidR="0073360E" w:rsidRPr="009E03DD" w:rsidRDefault="0073360E" w:rsidP="00F70590">
            <w:pPr>
              <w:spacing w:before="40" w:after="40"/>
              <w:jc w:val="center"/>
              <w:rPr>
                <w:rFonts w:eastAsia="Times New Roman" w:cs="Arial"/>
                <w:color w:val="000000"/>
                <w:sz w:val="20"/>
                <w:szCs w:val="20"/>
              </w:rPr>
            </w:pPr>
            <w:r w:rsidRPr="009E03DD">
              <w:rPr>
                <w:rFonts w:eastAsia="Times New Roman" w:cs="Arial"/>
                <w:color w:val="000000"/>
                <w:sz w:val="20"/>
                <w:szCs w:val="20"/>
              </w:rPr>
              <w:t>% Under 18</w:t>
            </w:r>
          </w:p>
        </w:tc>
      </w:tr>
      <w:tr w:rsidR="0073360E" w:rsidRPr="009E03DD" w14:paraId="6EB3EFA0" w14:textId="77777777" w:rsidTr="00F70590">
        <w:trPr>
          <w:trHeight w:val="300"/>
          <w:jc w:val="center"/>
        </w:trPr>
        <w:tc>
          <w:tcPr>
            <w:tcW w:w="706" w:type="dxa"/>
            <w:tcBorders>
              <w:top w:val="nil"/>
              <w:left w:val="single" w:sz="8" w:space="0" w:color="auto"/>
              <w:bottom w:val="single" w:sz="4" w:space="0" w:color="auto"/>
              <w:right w:val="single" w:sz="4" w:space="0" w:color="auto"/>
            </w:tcBorders>
            <w:shd w:val="clear" w:color="auto" w:fill="auto"/>
            <w:noWrap/>
            <w:vAlign w:val="center"/>
            <w:hideMark/>
          </w:tcPr>
          <w:p w14:paraId="427E8CA0" w14:textId="77777777" w:rsidR="0073360E" w:rsidRPr="009E03DD" w:rsidRDefault="0073360E" w:rsidP="00F70590">
            <w:pPr>
              <w:spacing w:after="0"/>
              <w:jc w:val="center"/>
              <w:rPr>
                <w:rFonts w:eastAsia="Times New Roman" w:cs="Arial"/>
                <w:color w:val="000000"/>
                <w:sz w:val="20"/>
                <w:szCs w:val="20"/>
              </w:rPr>
            </w:pPr>
            <w:r w:rsidRPr="009E03DD">
              <w:rPr>
                <w:rFonts w:eastAsia="Times New Roman" w:cs="Arial"/>
                <w:color w:val="000000"/>
                <w:sz w:val="20"/>
                <w:szCs w:val="20"/>
              </w:rPr>
              <w:t>2013</w:t>
            </w:r>
          </w:p>
        </w:tc>
        <w:tc>
          <w:tcPr>
            <w:tcW w:w="1080" w:type="dxa"/>
            <w:tcBorders>
              <w:top w:val="nil"/>
              <w:left w:val="nil"/>
              <w:bottom w:val="single" w:sz="4" w:space="0" w:color="auto"/>
              <w:right w:val="single" w:sz="4" w:space="0" w:color="auto"/>
            </w:tcBorders>
            <w:shd w:val="clear" w:color="auto" w:fill="auto"/>
            <w:noWrap/>
            <w:vAlign w:val="center"/>
            <w:hideMark/>
          </w:tcPr>
          <w:p w14:paraId="0BE5C04D" w14:textId="77777777" w:rsidR="0073360E" w:rsidRPr="009E03DD" w:rsidRDefault="0073360E" w:rsidP="00F70590">
            <w:pPr>
              <w:spacing w:before="40" w:after="40"/>
              <w:jc w:val="center"/>
              <w:rPr>
                <w:rFonts w:eastAsia="Times New Roman" w:cs="Arial"/>
                <w:color w:val="000000"/>
                <w:sz w:val="20"/>
                <w:szCs w:val="20"/>
              </w:rPr>
            </w:pPr>
            <w:r w:rsidRPr="009E03DD">
              <w:rPr>
                <w:rFonts w:eastAsia="Times New Roman" w:cs="Arial"/>
                <w:color w:val="000000"/>
                <w:sz w:val="20"/>
                <w:szCs w:val="20"/>
              </w:rPr>
              <w:t>426</w:t>
            </w:r>
          </w:p>
        </w:tc>
        <w:tc>
          <w:tcPr>
            <w:tcW w:w="1123" w:type="dxa"/>
            <w:tcBorders>
              <w:top w:val="nil"/>
              <w:left w:val="nil"/>
              <w:bottom w:val="single" w:sz="4" w:space="0" w:color="auto"/>
              <w:right w:val="single" w:sz="4" w:space="0" w:color="auto"/>
            </w:tcBorders>
            <w:shd w:val="clear" w:color="auto" w:fill="auto"/>
            <w:noWrap/>
            <w:vAlign w:val="center"/>
            <w:hideMark/>
          </w:tcPr>
          <w:p w14:paraId="080F0C37" w14:textId="77777777" w:rsidR="0073360E" w:rsidRPr="009E03DD" w:rsidRDefault="0073360E" w:rsidP="00F70590">
            <w:pPr>
              <w:spacing w:before="40" w:after="40"/>
              <w:jc w:val="center"/>
              <w:rPr>
                <w:rFonts w:eastAsia="Times New Roman" w:cs="Arial"/>
                <w:color w:val="000000"/>
                <w:sz w:val="20"/>
                <w:szCs w:val="20"/>
              </w:rPr>
            </w:pPr>
            <w:r w:rsidRPr="009E03DD">
              <w:rPr>
                <w:rFonts w:eastAsia="Times New Roman" w:cs="Arial"/>
                <w:color w:val="000000"/>
                <w:sz w:val="20"/>
                <w:szCs w:val="20"/>
              </w:rPr>
              <w:t>15</w:t>
            </w:r>
          </w:p>
        </w:tc>
        <w:tc>
          <w:tcPr>
            <w:tcW w:w="1432" w:type="dxa"/>
            <w:tcBorders>
              <w:top w:val="nil"/>
              <w:left w:val="nil"/>
              <w:bottom w:val="single" w:sz="4" w:space="0" w:color="auto"/>
              <w:right w:val="single" w:sz="8" w:space="0" w:color="auto"/>
            </w:tcBorders>
            <w:shd w:val="clear" w:color="auto" w:fill="auto"/>
            <w:noWrap/>
            <w:vAlign w:val="center"/>
            <w:hideMark/>
          </w:tcPr>
          <w:p w14:paraId="44543CF9" w14:textId="77777777" w:rsidR="0073360E" w:rsidRPr="009E03DD" w:rsidRDefault="0073360E" w:rsidP="00F70590">
            <w:pPr>
              <w:spacing w:before="40" w:after="40"/>
              <w:jc w:val="center"/>
              <w:rPr>
                <w:rFonts w:eastAsia="Times New Roman" w:cs="Arial"/>
                <w:color w:val="000000"/>
                <w:sz w:val="20"/>
                <w:szCs w:val="20"/>
              </w:rPr>
            </w:pPr>
            <w:r w:rsidRPr="009E03DD">
              <w:rPr>
                <w:rFonts w:eastAsia="Times New Roman" w:cs="Arial"/>
                <w:color w:val="000000"/>
                <w:sz w:val="20"/>
                <w:szCs w:val="20"/>
              </w:rPr>
              <w:t>3.5</w:t>
            </w:r>
          </w:p>
        </w:tc>
      </w:tr>
      <w:tr w:rsidR="0073360E" w:rsidRPr="009E03DD" w14:paraId="0E3DD6E6" w14:textId="77777777" w:rsidTr="00F70590">
        <w:trPr>
          <w:trHeight w:val="300"/>
          <w:jc w:val="center"/>
        </w:trPr>
        <w:tc>
          <w:tcPr>
            <w:tcW w:w="706" w:type="dxa"/>
            <w:tcBorders>
              <w:top w:val="nil"/>
              <w:left w:val="single" w:sz="8" w:space="0" w:color="auto"/>
              <w:bottom w:val="single" w:sz="4" w:space="0" w:color="auto"/>
              <w:right w:val="single" w:sz="4" w:space="0" w:color="auto"/>
            </w:tcBorders>
            <w:shd w:val="clear" w:color="auto" w:fill="auto"/>
            <w:noWrap/>
            <w:vAlign w:val="center"/>
            <w:hideMark/>
          </w:tcPr>
          <w:p w14:paraId="07FCBECC" w14:textId="77777777" w:rsidR="0073360E" w:rsidRPr="009E03DD" w:rsidRDefault="0073360E" w:rsidP="00F70590">
            <w:pPr>
              <w:spacing w:after="0"/>
              <w:jc w:val="center"/>
              <w:rPr>
                <w:rFonts w:eastAsia="Times New Roman" w:cs="Arial"/>
                <w:color w:val="000000"/>
                <w:sz w:val="20"/>
                <w:szCs w:val="20"/>
              </w:rPr>
            </w:pPr>
            <w:r w:rsidRPr="009E03DD">
              <w:rPr>
                <w:rFonts w:eastAsia="Times New Roman" w:cs="Arial"/>
                <w:color w:val="000000"/>
                <w:sz w:val="20"/>
                <w:szCs w:val="20"/>
              </w:rPr>
              <w:t>2014</w:t>
            </w:r>
          </w:p>
        </w:tc>
        <w:tc>
          <w:tcPr>
            <w:tcW w:w="1080" w:type="dxa"/>
            <w:tcBorders>
              <w:top w:val="nil"/>
              <w:left w:val="nil"/>
              <w:bottom w:val="single" w:sz="4" w:space="0" w:color="auto"/>
              <w:right w:val="single" w:sz="4" w:space="0" w:color="auto"/>
            </w:tcBorders>
            <w:shd w:val="clear" w:color="auto" w:fill="auto"/>
            <w:noWrap/>
            <w:vAlign w:val="center"/>
            <w:hideMark/>
          </w:tcPr>
          <w:p w14:paraId="06303A5B" w14:textId="77777777" w:rsidR="0073360E" w:rsidRPr="009E03DD" w:rsidRDefault="0073360E" w:rsidP="00F70590">
            <w:pPr>
              <w:spacing w:before="40" w:after="40"/>
              <w:jc w:val="center"/>
              <w:rPr>
                <w:rFonts w:eastAsia="Times New Roman" w:cs="Arial"/>
                <w:color w:val="000000"/>
                <w:sz w:val="20"/>
                <w:szCs w:val="20"/>
              </w:rPr>
            </w:pPr>
            <w:r w:rsidRPr="009E03DD">
              <w:rPr>
                <w:rFonts w:eastAsia="Times New Roman" w:cs="Arial"/>
                <w:color w:val="000000"/>
                <w:sz w:val="20"/>
                <w:szCs w:val="20"/>
              </w:rPr>
              <w:t>454</w:t>
            </w:r>
          </w:p>
        </w:tc>
        <w:tc>
          <w:tcPr>
            <w:tcW w:w="1123" w:type="dxa"/>
            <w:tcBorders>
              <w:top w:val="nil"/>
              <w:left w:val="nil"/>
              <w:bottom w:val="single" w:sz="4" w:space="0" w:color="auto"/>
              <w:right w:val="single" w:sz="4" w:space="0" w:color="auto"/>
            </w:tcBorders>
            <w:shd w:val="clear" w:color="auto" w:fill="auto"/>
            <w:noWrap/>
            <w:vAlign w:val="center"/>
            <w:hideMark/>
          </w:tcPr>
          <w:p w14:paraId="033B68EA" w14:textId="77777777" w:rsidR="0073360E" w:rsidRPr="009E03DD" w:rsidRDefault="0073360E" w:rsidP="00F70590">
            <w:pPr>
              <w:spacing w:before="40" w:after="40"/>
              <w:jc w:val="center"/>
              <w:rPr>
                <w:rFonts w:eastAsia="Times New Roman" w:cs="Arial"/>
                <w:color w:val="000000"/>
                <w:sz w:val="20"/>
                <w:szCs w:val="20"/>
              </w:rPr>
            </w:pPr>
            <w:r w:rsidRPr="009E03DD">
              <w:rPr>
                <w:rFonts w:eastAsia="Times New Roman" w:cs="Arial"/>
                <w:color w:val="000000"/>
                <w:sz w:val="20"/>
                <w:szCs w:val="20"/>
              </w:rPr>
              <w:t>14</w:t>
            </w:r>
          </w:p>
        </w:tc>
        <w:tc>
          <w:tcPr>
            <w:tcW w:w="1432" w:type="dxa"/>
            <w:tcBorders>
              <w:top w:val="nil"/>
              <w:left w:val="nil"/>
              <w:bottom w:val="single" w:sz="4" w:space="0" w:color="auto"/>
              <w:right w:val="single" w:sz="8" w:space="0" w:color="auto"/>
            </w:tcBorders>
            <w:shd w:val="clear" w:color="auto" w:fill="auto"/>
            <w:noWrap/>
            <w:vAlign w:val="center"/>
            <w:hideMark/>
          </w:tcPr>
          <w:p w14:paraId="193480CC" w14:textId="77777777" w:rsidR="0073360E" w:rsidRPr="009E03DD" w:rsidRDefault="0073360E" w:rsidP="00F70590">
            <w:pPr>
              <w:spacing w:before="40" w:after="40"/>
              <w:jc w:val="center"/>
              <w:rPr>
                <w:rFonts w:eastAsia="Times New Roman" w:cs="Arial"/>
                <w:color w:val="000000"/>
                <w:sz w:val="20"/>
                <w:szCs w:val="20"/>
              </w:rPr>
            </w:pPr>
            <w:r w:rsidRPr="009E03DD">
              <w:rPr>
                <w:rFonts w:eastAsia="Times New Roman" w:cs="Arial"/>
                <w:color w:val="000000"/>
                <w:sz w:val="20"/>
                <w:szCs w:val="20"/>
              </w:rPr>
              <w:t>3.1</w:t>
            </w:r>
          </w:p>
        </w:tc>
      </w:tr>
      <w:tr w:rsidR="0073360E" w:rsidRPr="009E03DD" w14:paraId="010BF862" w14:textId="77777777" w:rsidTr="00F70590">
        <w:trPr>
          <w:trHeight w:val="300"/>
          <w:jc w:val="center"/>
        </w:trPr>
        <w:tc>
          <w:tcPr>
            <w:tcW w:w="706" w:type="dxa"/>
            <w:tcBorders>
              <w:top w:val="nil"/>
              <w:left w:val="single" w:sz="8" w:space="0" w:color="auto"/>
              <w:bottom w:val="single" w:sz="4" w:space="0" w:color="auto"/>
              <w:right w:val="single" w:sz="4" w:space="0" w:color="auto"/>
            </w:tcBorders>
            <w:shd w:val="clear" w:color="auto" w:fill="auto"/>
            <w:noWrap/>
            <w:vAlign w:val="center"/>
            <w:hideMark/>
          </w:tcPr>
          <w:p w14:paraId="7569F64A" w14:textId="77777777" w:rsidR="0073360E" w:rsidRPr="009E03DD" w:rsidRDefault="0073360E" w:rsidP="00F70590">
            <w:pPr>
              <w:spacing w:after="0"/>
              <w:jc w:val="center"/>
              <w:rPr>
                <w:rFonts w:eastAsia="Times New Roman" w:cs="Arial"/>
                <w:color w:val="000000"/>
                <w:sz w:val="20"/>
                <w:szCs w:val="20"/>
              </w:rPr>
            </w:pPr>
            <w:r w:rsidRPr="009E03DD">
              <w:rPr>
                <w:rFonts w:eastAsia="Times New Roman" w:cs="Arial"/>
                <w:color w:val="000000"/>
                <w:sz w:val="20"/>
                <w:szCs w:val="20"/>
              </w:rPr>
              <w:t>2015</w:t>
            </w:r>
          </w:p>
        </w:tc>
        <w:tc>
          <w:tcPr>
            <w:tcW w:w="1080" w:type="dxa"/>
            <w:tcBorders>
              <w:top w:val="nil"/>
              <w:left w:val="nil"/>
              <w:bottom w:val="single" w:sz="4" w:space="0" w:color="auto"/>
              <w:right w:val="single" w:sz="4" w:space="0" w:color="auto"/>
            </w:tcBorders>
            <w:shd w:val="clear" w:color="auto" w:fill="auto"/>
            <w:noWrap/>
            <w:vAlign w:val="center"/>
            <w:hideMark/>
          </w:tcPr>
          <w:p w14:paraId="7D1A72AF" w14:textId="77777777" w:rsidR="0073360E" w:rsidRPr="009E03DD" w:rsidRDefault="0073360E" w:rsidP="00F70590">
            <w:pPr>
              <w:spacing w:before="40" w:after="40"/>
              <w:jc w:val="center"/>
              <w:rPr>
                <w:rFonts w:eastAsia="Times New Roman" w:cs="Arial"/>
                <w:color w:val="000000"/>
                <w:sz w:val="20"/>
                <w:szCs w:val="20"/>
              </w:rPr>
            </w:pPr>
            <w:r w:rsidRPr="009E03DD">
              <w:rPr>
                <w:rFonts w:eastAsia="Times New Roman" w:cs="Arial"/>
                <w:color w:val="000000"/>
                <w:sz w:val="20"/>
                <w:szCs w:val="20"/>
              </w:rPr>
              <w:t>477</w:t>
            </w:r>
          </w:p>
        </w:tc>
        <w:tc>
          <w:tcPr>
            <w:tcW w:w="1123" w:type="dxa"/>
            <w:tcBorders>
              <w:top w:val="nil"/>
              <w:left w:val="nil"/>
              <w:bottom w:val="single" w:sz="4" w:space="0" w:color="auto"/>
              <w:right w:val="single" w:sz="4" w:space="0" w:color="auto"/>
            </w:tcBorders>
            <w:shd w:val="clear" w:color="auto" w:fill="auto"/>
            <w:noWrap/>
            <w:vAlign w:val="center"/>
            <w:hideMark/>
          </w:tcPr>
          <w:p w14:paraId="7AAEA2E0" w14:textId="77777777" w:rsidR="0073360E" w:rsidRPr="009E03DD" w:rsidRDefault="0073360E" w:rsidP="00F70590">
            <w:pPr>
              <w:spacing w:before="40" w:after="40"/>
              <w:jc w:val="center"/>
              <w:rPr>
                <w:rFonts w:eastAsia="Times New Roman" w:cs="Arial"/>
                <w:color w:val="000000"/>
                <w:sz w:val="20"/>
                <w:szCs w:val="20"/>
              </w:rPr>
            </w:pPr>
            <w:r w:rsidRPr="009E03DD">
              <w:rPr>
                <w:rFonts w:eastAsia="Times New Roman" w:cs="Arial"/>
                <w:color w:val="000000"/>
                <w:sz w:val="20"/>
                <w:szCs w:val="20"/>
              </w:rPr>
              <w:t>17</w:t>
            </w:r>
          </w:p>
        </w:tc>
        <w:tc>
          <w:tcPr>
            <w:tcW w:w="1432" w:type="dxa"/>
            <w:tcBorders>
              <w:top w:val="nil"/>
              <w:left w:val="nil"/>
              <w:bottom w:val="single" w:sz="4" w:space="0" w:color="auto"/>
              <w:right w:val="single" w:sz="8" w:space="0" w:color="auto"/>
            </w:tcBorders>
            <w:shd w:val="clear" w:color="auto" w:fill="auto"/>
            <w:noWrap/>
            <w:vAlign w:val="center"/>
            <w:hideMark/>
          </w:tcPr>
          <w:p w14:paraId="18AB5C98" w14:textId="77777777" w:rsidR="0073360E" w:rsidRPr="009E03DD" w:rsidRDefault="0073360E" w:rsidP="00F70590">
            <w:pPr>
              <w:spacing w:before="40" w:after="40"/>
              <w:jc w:val="center"/>
              <w:rPr>
                <w:rFonts w:eastAsia="Times New Roman" w:cs="Arial"/>
                <w:color w:val="000000"/>
                <w:sz w:val="20"/>
                <w:szCs w:val="20"/>
              </w:rPr>
            </w:pPr>
            <w:r w:rsidRPr="009E03DD">
              <w:rPr>
                <w:rFonts w:eastAsia="Times New Roman" w:cs="Arial"/>
                <w:color w:val="000000"/>
                <w:sz w:val="20"/>
                <w:szCs w:val="20"/>
              </w:rPr>
              <w:t>3.6</w:t>
            </w:r>
          </w:p>
        </w:tc>
      </w:tr>
      <w:tr w:rsidR="0073360E" w:rsidRPr="009E03DD" w14:paraId="382236FC" w14:textId="77777777" w:rsidTr="00F70590">
        <w:trPr>
          <w:trHeight w:val="300"/>
          <w:jc w:val="center"/>
        </w:trPr>
        <w:tc>
          <w:tcPr>
            <w:tcW w:w="706" w:type="dxa"/>
            <w:tcBorders>
              <w:top w:val="nil"/>
              <w:left w:val="single" w:sz="8" w:space="0" w:color="auto"/>
              <w:bottom w:val="single" w:sz="4" w:space="0" w:color="auto"/>
              <w:right w:val="single" w:sz="4" w:space="0" w:color="auto"/>
            </w:tcBorders>
            <w:shd w:val="clear" w:color="auto" w:fill="auto"/>
            <w:noWrap/>
            <w:vAlign w:val="center"/>
            <w:hideMark/>
          </w:tcPr>
          <w:p w14:paraId="43446DD1" w14:textId="77777777" w:rsidR="0073360E" w:rsidRPr="009E03DD" w:rsidRDefault="0073360E" w:rsidP="00F70590">
            <w:pPr>
              <w:spacing w:after="0"/>
              <w:jc w:val="center"/>
              <w:rPr>
                <w:rFonts w:eastAsia="Times New Roman" w:cs="Arial"/>
                <w:color w:val="000000"/>
                <w:sz w:val="20"/>
                <w:szCs w:val="20"/>
              </w:rPr>
            </w:pPr>
            <w:r w:rsidRPr="009E03DD">
              <w:rPr>
                <w:rFonts w:eastAsia="Times New Roman" w:cs="Arial"/>
                <w:color w:val="000000"/>
                <w:sz w:val="20"/>
                <w:szCs w:val="20"/>
              </w:rPr>
              <w:t>2016</w:t>
            </w:r>
          </w:p>
        </w:tc>
        <w:tc>
          <w:tcPr>
            <w:tcW w:w="1080" w:type="dxa"/>
            <w:tcBorders>
              <w:top w:val="nil"/>
              <w:left w:val="nil"/>
              <w:bottom w:val="single" w:sz="4" w:space="0" w:color="auto"/>
              <w:right w:val="single" w:sz="4" w:space="0" w:color="auto"/>
            </w:tcBorders>
            <w:shd w:val="clear" w:color="auto" w:fill="auto"/>
            <w:noWrap/>
            <w:vAlign w:val="center"/>
            <w:hideMark/>
          </w:tcPr>
          <w:p w14:paraId="3335B6D5" w14:textId="77777777" w:rsidR="0073360E" w:rsidRPr="009E03DD" w:rsidRDefault="0073360E" w:rsidP="00F70590">
            <w:pPr>
              <w:spacing w:before="40" w:after="40"/>
              <w:jc w:val="center"/>
              <w:rPr>
                <w:rFonts w:eastAsia="Times New Roman" w:cs="Arial"/>
                <w:color w:val="000000"/>
                <w:sz w:val="20"/>
                <w:szCs w:val="20"/>
              </w:rPr>
            </w:pPr>
            <w:r w:rsidRPr="009E03DD">
              <w:rPr>
                <w:rFonts w:eastAsia="Times New Roman" w:cs="Arial"/>
                <w:color w:val="000000"/>
                <w:sz w:val="20"/>
                <w:szCs w:val="20"/>
              </w:rPr>
              <w:t>512</w:t>
            </w:r>
          </w:p>
        </w:tc>
        <w:tc>
          <w:tcPr>
            <w:tcW w:w="1123" w:type="dxa"/>
            <w:tcBorders>
              <w:top w:val="nil"/>
              <w:left w:val="nil"/>
              <w:bottom w:val="single" w:sz="4" w:space="0" w:color="auto"/>
              <w:right w:val="single" w:sz="4" w:space="0" w:color="auto"/>
            </w:tcBorders>
            <w:shd w:val="clear" w:color="auto" w:fill="auto"/>
            <w:noWrap/>
            <w:vAlign w:val="center"/>
            <w:hideMark/>
          </w:tcPr>
          <w:p w14:paraId="2EB3C865" w14:textId="77777777" w:rsidR="0073360E" w:rsidRPr="009E03DD" w:rsidRDefault="0073360E" w:rsidP="00F70590">
            <w:pPr>
              <w:spacing w:before="40" w:after="40"/>
              <w:jc w:val="center"/>
              <w:rPr>
                <w:rFonts w:eastAsia="Times New Roman" w:cs="Arial"/>
                <w:color w:val="000000"/>
                <w:sz w:val="20"/>
                <w:szCs w:val="20"/>
              </w:rPr>
            </w:pPr>
            <w:r w:rsidRPr="009E03DD">
              <w:rPr>
                <w:rFonts w:eastAsia="Times New Roman" w:cs="Arial"/>
                <w:color w:val="000000"/>
                <w:sz w:val="20"/>
                <w:szCs w:val="20"/>
              </w:rPr>
              <w:t>18</w:t>
            </w:r>
          </w:p>
        </w:tc>
        <w:tc>
          <w:tcPr>
            <w:tcW w:w="1432" w:type="dxa"/>
            <w:tcBorders>
              <w:top w:val="nil"/>
              <w:left w:val="nil"/>
              <w:bottom w:val="single" w:sz="4" w:space="0" w:color="auto"/>
              <w:right w:val="single" w:sz="8" w:space="0" w:color="auto"/>
            </w:tcBorders>
            <w:shd w:val="clear" w:color="auto" w:fill="auto"/>
            <w:noWrap/>
            <w:vAlign w:val="center"/>
            <w:hideMark/>
          </w:tcPr>
          <w:p w14:paraId="421B9B50" w14:textId="77777777" w:rsidR="0073360E" w:rsidRPr="009E03DD" w:rsidRDefault="0073360E" w:rsidP="00F70590">
            <w:pPr>
              <w:spacing w:before="40" w:after="40"/>
              <w:jc w:val="center"/>
              <w:rPr>
                <w:rFonts w:eastAsia="Times New Roman" w:cs="Arial"/>
                <w:color w:val="000000"/>
                <w:sz w:val="20"/>
                <w:szCs w:val="20"/>
              </w:rPr>
            </w:pPr>
            <w:r w:rsidRPr="009E03DD">
              <w:rPr>
                <w:rFonts w:eastAsia="Times New Roman" w:cs="Arial"/>
                <w:color w:val="000000"/>
                <w:sz w:val="20"/>
                <w:szCs w:val="20"/>
              </w:rPr>
              <w:t>3.5</w:t>
            </w:r>
          </w:p>
        </w:tc>
      </w:tr>
      <w:tr w:rsidR="0073360E" w:rsidRPr="009E03DD" w14:paraId="4DE44687" w14:textId="77777777" w:rsidTr="00F70590">
        <w:trPr>
          <w:trHeight w:val="300"/>
          <w:jc w:val="center"/>
        </w:trPr>
        <w:tc>
          <w:tcPr>
            <w:tcW w:w="706" w:type="dxa"/>
            <w:tcBorders>
              <w:top w:val="nil"/>
              <w:left w:val="single" w:sz="8" w:space="0" w:color="auto"/>
              <w:bottom w:val="single" w:sz="4" w:space="0" w:color="auto"/>
              <w:right w:val="single" w:sz="4" w:space="0" w:color="auto"/>
            </w:tcBorders>
            <w:shd w:val="clear" w:color="auto" w:fill="auto"/>
            <w:noWrap/>
            <w:vAlign w:val="center"/>
            <w:hideMark/>
          </w:tcPr>
          <w:p w14:paraId="13A4431B" w14:textId="77777777" w:rsidR="0073360E" w:rsidRPr="009E03DD" w:rsidRDefault="0073360E" w:rsidP="00F70590">
            <w:pPr>
              <w:spacing w:after="0"/>
              <w:jc w:val="center"/>
              <w:rPr>
                <w:rFonts w:eastAsia="Times New Roman" w:cs="Arial"/>
                <w:color w:val="000000"/>
                <w:sz w:val="20"/>
                <w:szCs w:val="20"/>
              </w:rPr>
            </w:pPr>
            <w:r w:rsidRPr="009E03DD">
              <w:rPr>
                <w:rFonts w:eastAsia="Times New Roman" w:cs="Arial"/>
                <w:color w:val="000000"/>
                <w:sz w:val="20"/>
                <w:szCs w:val="20"/>
              </w:rPr>
              <w:t>2017</w:t>
            </w:r>
          </w:p>
        </w:tc>
        <w:tc>
          <w:tcPr>
            <w:tcW w:w="1080" w:type="dxa"/>
            <w:tcBorders>
              <w:top w:val="nil"/>
              <w:left w:val="nil"/>
              <w:bottom w:val="single" w:sz="4" w:space="0" w:color="auto"/>
              <w:right w:val="single" w:sz="4" w:space="0" w:color="auto"/>
            </w:tcBorders>
            <w:shd w:val="clear" w:color="auto" w:fill="auto"/>
            <w:noWrap/>
            <w:vAlign w:val="center"/>
            <w:hideMark/>
          </w:tcPr>
          <w:p w14:paraId="1FAF2952" w14:textId="77777777" w:rsidR="0073360E" w:rsidRPr="009E03DD" w:rsidRDefault="0073360E" w:rsidP="00F70590">
            <w:pPr>
              <w:spacing w:before="40" w:after="40"/>
              <w:jc w:val="center"/>
              <w:rPr>
                <w:rFonts w:eastAsia="Times New Roman" w:cs="Arial"/>
                <w:color w:val="000000"/>
                <w:sz w:val="20"/>
                <w:szCs w:val="20"/>
              </w:rPr>
            </w:pPr>
            <w:r w:rsidRPr="009E03DD">
              <w:rPr>
                <w:rFonts w:eastAsia="Times New Roman" w:cs="Arial"/>
                <w:color w:val="000000"/>
                <w:sz w:val="20"/>
                <w:szCs w:val="20"/>
              </w:rPr>
              <w:t>544</w:t>
            </w:r>
          </w:p>
        </w:tc>
        <w:tc>
          <w:tcPr>
            <w:tcW w:w="1123" w:type="dxa"/>
            <w:tcBorders>
              <w:top w:val="nil"/>
              <w:left w:val="nil"/>
              <w:bottom w:val="single" w:sz="4" w:space="0" w:color="auto"/>
              <w:right w:val="single" w:sz="4" w:space="0" w:color="auto"/>
            </w:tcBorders>
            <w:shd w:val="clear" w:color="auto" w:fill="auto"/>
            <w:noWrap/>
            <w:vAlign w:val="center"/>
            <w:hideMark/>
          </w:tcPr>
          <w:p w14:paraId="1DD0DF58" w14:textId="77777777" w:rsidR="0073360E" w:rsidRPr="009E03DD" w:rsidRDefault="0073360E" w:rsidP="00F70590">
            <w:pPr>
              <w:spacing w:before="40" w:after="40"/>
              <w:jc w:val="center"/>
              <w:rPr>
                <w:rFonts w:eastAsia="Times New Roman" w:cs="Arial"/>
                <w:color w:val="000000"/>
                <w:sz w:val="20"/>
                <w:szCs w:val="20"/>
              </w:rPr>
            </w:pPr>
            <w:r w:rsidRPr="009E03DD">
              <w:rPr>
                <w:rFonts w:eastAsia="Times New Roman" w:cs="Arial"/>
                <w:color w:val="000000"/>
                <w:sz w:val="20"/>
                <w:szCs w:val="20"/>
              </w:rPr>
              <w:t>31</w:t>
            </w:r>
          </w:p>
        </w:tc>
        <w:tc>
          <w:tcPr>
            <w:tcW w:w="1432" w:type="dxa"/>
            <w:tcBorders>
              <w:top w:val="nil"/>
              <w:left w:val="nil"/>
              <w:bottom w:val="single" w:sz="4" w:space="0" w:color="auto"/>
              <w:right w:val="single" w:sz="8" w:space="0" w:color="auto"/>
            </w:tcBorders>
            <w:shd w:val="clear" w:color="auto" w:fill="auto"/>
            <w:noWrap/>
            <w:vAlign w:val="center"/>
            <w:hideMark/>
          </w:tcPr>
          <w:p w14:paraId="7115016A" w14:textId="77777777" w:rsidR="0073360E" w:rsidRPr="009E03DD" w:rsidRDefault="0073360E" w:rsidP="00F70590">
            <w:pPr>
              <w:spacing w:before="40" w:after="40"/>
              <w:jc w:val="center"/>
              <w:rPr>
                <w:rFonts w:eastAsia="Times New Roman" w:cs="Arial"/>
                <w:color w:val="000000"/>
                <w:sz w:val="20"/>
                <w:szCs w:val="20"/>
              </w:rPr>
            </w:pPr>
            <w:r w:rsidRPr="009E03DD">
              <w:rPr>
                <w:rFonts w:eastAsia="Times New Roman" w:cs="Arial"/>
                <w:color w:val="000000"/>
                <w:sz w:val="20"/>
                <w:szCs w:val="20"/>
              </w:rPr>
              <w:t>5.7</w:t>
            </w:r>
          </w:p>
        </w:tc>
      </w:tr>
      <w:tr w:rsidR="0073360E" w:rsidRPr="009E03DD" w14:paraId="65C40FB8" w14:textId="77777777" w:rsidTr="00F70590">
        <w:trPr>
          <w:trHeight w:val="315"/>
          <w:jc w:val="center"/>
        </w:trPr>
        <w:tc>
          <w:tcPr>
            <w:tcW w:w="706" w:type="dxa"/>
            <w:tcBorders>
              <w:top w:val="nil"/>
              <w:left w:val="single" w:sz="8" w:space="0" w:color="auto"/>
              <w:bottom w:val="single" w:sz="8" w:space="0" w:color="auto"/>
              <w:right w:val="single" w:sz="4" w:space="0" w:color="auto"/>
            </w:tcBorders>
            <w:shd w:val="clear" w:color="auto" w:fill="auto"/>
            <w:noWrap/>
            <w:vAlign w:val="center"/>
            <w:hideMark/>
          </w:tcPr>
          <w:p w14:paraId="49728F2C" w14:textId="77777777" w:rsidR="0073360E" w:rsidRPr="009E03DD" w:rsidRDefault="0073360E" w:rsidP="00F70590">
            <w:pPr>
              <w:spacing w:after="0"/>
              <w:jc w:val="center"/>
              <w:rPr>
                <w:rFonts w:eastAsia="Times New Roman" w:cs="Arial"/>
                <w:color w:val="000000"/>
                <w:sz w:val="20"/>
                <w:szCs w:val="20"/>
              </w:rPr>
            </w:pPr>
            <w:r w:rsidRPr="009E03DD">
              <w:rPr>
                <w:rFonts w:eastAsia="Times New Roman" w:cs="Arial"/>
                <w:color w:val="000000"/>
                <w:sz w:val="20"/>
                <w:szCs w:val="20"/>
              </w:rPr>
              <w:t>Total</w:t>
            </w:r>
          </w:p>
        </w:tc>
        <w:tc>
          <w:tcPr>
            <w:tcW w:w="1080" w:type="dxa"/>
            <w:tcBorders>
              <w:top w:val="nil"/>
              <w:left w:val="nil"/>
              <w:bottom w:val="single" w:sz="8" w:space="0" w:color="auto"/>
              <w:right w:val="single" w:sz="4" w:space="0" w:color="auto"/>
            </w:tcBorders>
            <w:shd w:val="clear" w:color="auto" w:fill="auto"/>
            <w:noWrap/>
            <w:vAlign w:val="center"/>
            <w:hideMark/>
          </w:tcPr>
          <w:p w14:paraId="4AEB5490" w14:textId="77777777" w:rsidR="0073360E" w:rsidRPr="009E03DD" w:rsidRDefault="0073360E" w:rsidP="00F70590">
            <w:pPr>
              <w:spacing w:before="40" w:after="40"/>
              <w:jc w:val="center"/>
              <w:rPr>
                <w:rFonts w:eastAsia="Times New Roman" w:cs="Arial"/>
                <w:color w:val="000000"/>
                <w:sz w:val="20"/>
                <w:szCs w:val="20"/>
              </w:rPr>
            </w:pPr>
            <w:r w:rsidRPr="009E03DD">
              <w:rPr>
                <w:rFonts w:eastAsia="Times New Roman" w:cs="Arial"/>
                <w:color w:val="000000"/>
                <w:sz w:val="20"/>
                <w:szCs w:val="20"/>
              </w:rPr>
              <w:t>2413</w:t>
            </w:r>
          </w:p>
        </w:tc>
        <w:tc>
          <w:tcPr>
            <w:tcW w:w="1123" w:type="dxa"/>
            <w:tcBorders>
              <w:top w:val="nil"/>
              <w:left w:val="nil"/>
              <w:bottom w:val="single" w:sz="8" w:space="0" w:color="auto"/>
              <w:right w:val="single" w:sz="4" w:space="0" w:color="auto"/>
            </w:tcBorders>
            <w:shd w:val="clear" w:color="auto" w:fill="auto"/>
            <w:noWrap/>
            <w:vAlign w:val="center"/>
            <w:hideMark/>
          </w:tcPr>
          <w:p w14:paraId="41180063" w14:textId="77777777" w:rsidR="0073360E" w:rsidRPr="009E03DD" w:rsidRDefault="0073360E" w:rsidP="00F70590">
            <w:pPr>
              <w:spacing w:before="40" w:after="40"/>
              <w:jc w:val="center"/>
              <w:rPr>
                <w:rFonts w:eastAsia="Times New Roman" w:cs="Arial"/>
                <w:color w:val="000000"/>
                <w:sz w:val="20"/>
                <w:szCs w:val="20"/>
              </w:rPr>
            </w:pPr>
            <w:r w:rsidRPr="009E03DD">
              <w:rPr>
                <w:rFonts w:eastAsia="Times New Roman" w:cs="Arial"/>
                <w:color w:val="000000"/>
                <w:sz w:val="20"/>
                <w:szCs w:val="20"/>
              </w:rPr>
              <w:t>95</w:t>
            </w:r>
          </w:p>
        </w:tc>
        <w:tc>
          <w:tcPr>
            <w:tcW w:w="1432" w:type="dxa"/>
            <w:tcBorders>
              <w:top w:val="nil"/>
              <w:left w:val="nil"/>
              <w:bottom w:val="single" w:sz="8" w:space="0" w:color="auto"/>
              <w:right w:val="single" w:sz="8" w:space="0" w:color="auto"/>
            </w:tcBorders>
            <w:shd w:val="clear" w:color="auto" w:fill="auto"/>
            <w:noWrap/>
            <w:vAlign w:val="center"/>
            <w:hideMark/>
          </w:tcPr>
          <w:p w14:paraId="50D3BB44" w14:textId="77777777" w:rsidR="0073360E" w:rsidRPr="009E03DD" w:rsidRDefault="0073360E" w:rsidP="00F70590">
            <w:pPr>
              <w:spacing w:before="40" w:after="40"/>
              <w:jc w:val="center"/>
              <w:rPr>
                <w:rFonts w:eastAsia="Times New Roman" w:cs="Arial"/>
                <w:color w:val="000000"/>
                <w:sz w:val="20"/>
                <w:szCs w:val="20"/>
              </w:rPr>
            </w:pPr>
            <w:r w:rsidRPr="009E03DD">
              <w:rPr>
                <w:rFonts w:eastAsia="Times New Roman" w:cs="Arial"/>
                <w:color w:val="000000"/>
                <w:sz w:val="20"/>
                <w:szCs w:val="20"/>
              </w:rPr>
              <w:t>3.9</w:t>
            </w:r>
          </w:p>
        </w:tc>
      </w:tr>
    </w:tbl>
    <w:p w14:paraId="2D9BF4E4" w14:textId="77777777" w:rsidR="0073360E" w:rsidRPr="009E03DD" w:rsidRDefault="0073360E" w:rsidP="00F70590">
      <w:pPr>
        <w:tabs>
          <w:tab w:val="left" w:pos="1086"/>
          <w:tab w:val="left" w:pos="1445"/>
        </w:tabs>
        <w:spacing w:after="0" w:line="240" w:lineRule="auto"/>
        <w:rPr>
          <w:rFonts w:cs="Calibri"/>
          <w:b/>
          <w:color w:val="404040" w:themeColor="text1" w:themeTint="BF"/>
          <w:sz w:val="20"/>
          <w:szCs w:val="20"/>
        </w:rPr>
      </w:pPr>
    </w:p>
    <w:sectPr w:rsidR="0073360E" w:rsidRPr="009E03DD" w:rsidSect="00DA1B23">
      <w:footerReference w:type="default" r:id="rId12"/>
      <w:pgSz w:w="12240" w:h="15840"/>
      <w:pgMar w:top="72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8CE76" w14:textId="77777777" w:rsidR="00512129" w:rsidRDefault="00512129" w:rsidP="000A4171">
      <w:pPr>
        <w:spacing w:after="0" w:line="240" w:lineRule="auto"/>
      </w:pPr>
      <w:r>
        <w:separator/>
      </w:r>
    </w:p>
  </w:endnote>
  <w:endnote w:type="continuationSeparator" w:id="0">
    <w:p w14:paraId="55618FDF" w14:textId="77777777" w:rsidR="00512129" w:rsidRDefault="00512129" w:rsidP="000A4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57F2B" w14:textId="77777777" w:rsidR="000A4171" w:rsidRDefault="000A4171" w:rsidP="000A4171">
    <w:pPr>
      <w:pStyle w:val="Footer"/>
      <w:jc w:val="right"/>
    </w:pPr>
    <w:r>
      <w:t xml:space="preserve">KMCHC July </w:t>
    </w:r>
    <w:r w:rsidR="00916D8D">
      <w:t>31</w:t>
    </w:r>
    <w:r>
      <w:t>, 201</w:t>
    </w:r>
    <w:r w:rsidR="00916D8D">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B5758" w14:textId="77777777" w:rsidR="00512129" w:rsidRDefault="00512129" w:rsidP="000A4171">
      <w:pPr>
        <w:spacing w:after="0" w:line="240" w:lineRule="auto"/>
      </w:pPr>
      <w:r>
        <w:separator/>
      </w:r>
    </w:p>
  </w:footnote>
  <w:footnote w:type="continuationSeparator" w:id="0">
    <w:p w14:paraId="298E9347" w14:textId="77777777" w:rsidR="00512129" w:rsidRDefault="00512129" w:rsidP="000A4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B7814"/>
    <w:multiLevelType w:val="hybridMultilevel"/>
    <w:tmpl w:val="D174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A3A63"/>
    <w:multiLevelType w:val="hybridMultilevel"/>
    <w:tmpl w:val="4D6C9482"/>
    <w:lvl w:ilvl="0" w:tplc="04090001">
      <w:start w:val="1"/>
      <w:numFmt w:val="bullet"/>
      <w:lvlText w:val=""/>
      <w:lvlJc w:val="left"/>
      <w:pPr>
        <w:ind w:left="720" w:hanging="360"/>
      </w:pPr>
      <w:rPr>
        <w:rFonts w:ascii="Symbol" w:hAnsi="Symbo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E1E5E"/>
    <w:multiLevelType w:val="hybridMultilevel"/>
    <w:tmpl w:val="65528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C43BD"/>
    <w:multiLevelType w:val="hybridMultilevel"/>
    <w:tmpl w:val="DF823058"/>
    <w:lvl w:ilvl="0" w:tplc="55F054FE">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D418F9"/>
    <w:multiLevelType w:val="hybridMultilevel"/>
    <w:tmpl w:val="9F92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D2978"/>
    <w:multiLevelType w:val="hybridMultilevel"/>
    <w:tmpl w:val="DF823058"/>
    <w:lvl w:ilvl="0" w:tplc="55F054FE">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9118F9"/>
    <w:multiLevelType w:val="hybridMultilevel"/>
    <w:tmpl w:val="4DC84F8A"/>
    <w:lvl w:ilvl="0" w:tplc="22CC72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E7E74"/>
    <w:multiLevelType w:val="hybridMultilevel"/>
    <w:tmpl w:val="A2C857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DC63DA"/>
    <w:multiLevelType w:val="hybridMultilevel"/>
    <w:tmpl w:val="DF823058"/>
    <w:lvl w:ilvl="0" w:tplc="55F054FE">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40570E"/>
    <w:multiLevelType w:val="hybridMultilevel"/>
    <w:tmpl w:val="B5A4D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253D3"/>
    <w:multiLevelType w:val="hybridMultilevel"/>
    <w:tmpl w:val="FB2A0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64627A"/>
    <w:multiLevelType w:val="hybridMultilevel"/>
    <w:tmpl w:val="DF823058"/>
    <w:lvl w:ilvl="0" w:tplc="55F054FE">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E0B6638"/>
    <w:multiLevelType w:val="hybridMultilevel"/>
    <w:tmpl w:val="B28C51A4"/>
    <w:lvl w:ilvl="0" w:tplc="7A28F6EE">
      <w:numFmt w:val="bullet"/>
      <w:lvlText w:val="-"/>
      <w:lvlJc w:val="left"/>
      <w:pPr>
        <w:ind w:left="720" w:hanging="360"/>
      </w:pPr>
      <w:rPr>
        <w:rFonts w:ascii="Calibri" w:eastAsia="Times New Roman" w:hAnsi="Calibri" w:cs="Calibri"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048C0"/>
    <w:multiLevelType w:val="hybridMultilevel"/>
    <w:tmpl w:val="85D4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9F689D"/>
    <w:multiLevelType w:val="hybridMultilevel"/>
    <w:tmpl w:val="DF823058"/>
    <w:lvl w:ilvl="0" w:tplc="55F054FE">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344669"/>
    <w:multiLevelType w:val="hybridMultilevel"/>
    <w:tmpl w:val="8D8EEA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B23A74"/>
    <w:multiLevelType w:val="hybridMultilevel"/>
    <w:tmpl w:val="60EA46CA"/>
    <w:lvl w:ilvl="0" w:tplc="315E6C0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C80C7B"/>
    <w:multiLevelType w:val="multilevel"/>
    <w:tmpl w:val="15D01A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350A50"/>
    <w:multiLevelType w:val="hybridMultilevel"/>
    <w:tmpl w:val="96B8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102BB4"/>
    <w:multiLevelType w:val="multilevel"/>
    <w:tmpl w:val="F6F8251A"/>
    <w:styleLink w:val="Style1"/>
    <w:lvl w:ilvl="0">
      <w:start w:val="1"/>
      <w:numFmt w:val="upperRoman"/>
      <w:lvlText w:val="%1."/>
      <w:lvlJc w:val="left"/>
      <w:pPr>
        <w:ind w:left="720" w:hanging="360"/>
      </w:pPr>
      <w:rPr>
        <w:rFonts w:ascii="Calibri" w:eastAsiaTheme="minorHAnsi" w:hAnsi="Calibri" w:cs="Times New Roman"/>
      </w:rPr>
    </w:lvl>
    <w:lvl w:ilvl="1">
      <w:start w:val="1"/>
      <w:numFmt w:val="upperLetter"/>
      <w:lvlText w:val="%2."/>
      <w:lvlJc w:val="left"/>
      <w:pPr>
        <w:ind w:left="1080" w:hanging="360"/>
      </w:pPr>
      <w:rPr>
        <w:rFonts w:hint="default"/>
      </w:rPr>
    </w:lvl>
    <w:lvl w:ilvl="2">
      <w:start w:val="1"/>
      <w:numFmt w:val="decimal"/>
      <w:lvlText w:val="%3."/>
      <w:lvlJc w:val="left"/>
      <w:pPr>
        <w:ind w:left="1800" w:hanging="360"/>
      </w:pPr>
      <w:rPr>
        <w:rFonts w:hint="default"/>
      </w:rPr>
    </w:lvl>
    <w:lvl w:ilvl="3">
      <w:start w:val="1"/>
      <w:numFmt w:val="bullet"/>
      <w:lvlText w:val="o"/>
      <w:lvlJc w:val="left"/>
      <w:pPr>
        <w:ind w:left="252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F72834"/>
    <w:multiLevelType w:val="hybridMultilevel"/>
    <w:tmpl w:val="128A8C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0D6B34"/>
    <w:multiLevelType w:val="hybridMultilevel"/>
    <w:tmpl w:val="837CC062"/>
    <w:lvl w:ilvl="0" w:tplc="1CEAA6C6">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B9616E8"/>
    <w:multiLevelType w:val="hybridMultilevel"/>
    <w:tmpl w:val="03587ECE"/>
    <w:lvl w:ilvl="0" w:tplc="7A28F6EE">
      <w:numFmt w:val="bullet"/>
      <w:lvlText w:val="-"/>
      <w:lvlJc w:val="left"/>
      <w:pPr>
        <w:ind w:left="720" w:hanging="360"/>
      </w:pPr>
      <w:rPr>
        <w:rFonts w:ascii="Calibri" w:eastAsia="Times New Roman" w:hAnsi="Calibri" w:cs="Calibri"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633019"/>
    <w:multiLevelType w:val="hybridMultilevel"/>
    <w:tmpl w:val="C700D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48F6A3F"/>
    <w:multiLevelType w:val="hybridMultilevel"/>
    <w:tmpl w:val="2AA0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5B3C3D"/>
    <w:multiLevelType w:val="hybridMultilevel"/>
    <w:tmpl w:val="4A286ED0"/>
    <w:lvl w:ilvl="0" w:tplc="4DCC1F32">
      <w:numFmt w:val="bullet"/>
      <w:lvlText w:val="-"/>
      <w:lvlJc w:val="left"/>
      <w:pPr>
        <w:ind w:left="720" w:hanging="360"/>
      </w:pPr>
      <w:rPr>
        <w:rFonts w:ascii="Century Gothic" w:eastAsia="Times New Roman" w:hAnsi="Century Gothic" w:cs="Tahoma"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F1000C"/>
    <w:multiLevelType w:val="hybridMultilevel"/>
    <w:tmpl w:val="E4507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17"/>
  </w:num>
  <w:num w:numId="4">
    <w:abstractNumId w:val="25"/>
  </w:num>
  <w:num w:numId="5">
    <w:abstractNumId w:val="14"/>
  </w:num>
  <w:num w:numId="6">
    <w:abstractNumId w:val="7"/>
  </w:num>
  <w:num w:numId="7">
    <w:abstractNumId w:val="15"/>
  </w:num>
  <w:num w:numId="8">
    <w:abstractNumId w:val="21"/>
  </w:num>
  <w:num w:numId="9">
    <w:abstractNumId w:val="11"/>
  </w:num>
  <w:num w:numId="10">
    <w:abstractNumId w:val="5"/>
  </w:num>
  <w:num w:numId="11">
    <w:abstractNumId w:val="8"/>
  </w:num>
  <w:num w:numId="12">
    <w:abstractNumId w:val="3"/>
  </w:num>
  <w:num w:numId="13">
    <w:abstractNumId w:val="24"/>
  </w:num>
  <w:num w:numId="14">
    <w:abstractNumId w:val="12"/>
  </w:num>
  <w:num w:numId="15">
    <w:abstractNumId w:val="6"/>
  </w:num>
  <w:num w:numId="16">
    <w:abstractNumId w:val="22"/>
  </w:num>
  <w:num w:numId="17">
    <w:abstractNumId w:val="1"/>
  </w:num>
  <w:num w:numId="18">
    <w:abstractNumId w:val="18"/>
  </w:num>
  <w:num w:numId="19">
    <w:abstractNumId w:val="4"/>
  </w:num>
  <w:num w:numId="20">
    <w:abstractNumId w:val="16"/>
  </w:num>
  <w:num w:numId="21">
    <w:abstractNumId w:val="20"/>
  </w:num>
  <w:num w:numId="22">
    <w:abstractNumId w:val="9"/>
  </w:num>
  <w:num w:numId="23">
    <w:abstractNumId w:val="26"/>
  </w:num>
  <w:num w:numId="24">
    <w:abstractNumId w:val="13"/>
  </w:num>
  <w:num w:numId="25">
    <w:abstractNumId w:val="0"/>
  </w:num>
  <w:num w:numId="26">
    <w:abstractNumId w:val="1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00F"/>
    <w:rsid w:val="00023FA9"/>
    <w:rsid w:val="000306E1"/>
    <w:rsid w:val="000753E7"/>
    <w:rsid w:val="00086A54"/>
    <w:rsid w:val="000A4171"/>
    <w:rsid w:val="000B1B35"/>
    <w:rsid w:val="000B60BC"/>
    <w:rsid w:val="000C758B"/>
    <w:rsid w:val="000E543C"/>
    <w:rsid w:val="0010581C"/>
    <w:rsid w:val="001121CA"/>
    <w:rsid w:val="00117500"/>
    <w:rsid w:val="00124BE7"/>
    <w:rsid w:val="00141EF5"/>
    <w:rsid w:val="00196A9E"/>
    <w:rsid w:val="001B2FAA"/>
    <w:rsid w:val="001F750F"/>
    <w:rsid w:val="00204904"/>
    <w:rsid w:val="00207A13"/>
    <w:rsid w:val="00283EDD"/>
    <w:rsid w:val="002A039B"/>
    <w:rsid w:val="002A6808"/>
    <w:rsid w:val="002B2335"/>
    <w:rsid w:val="002B27DB"/>
    <w:rsid w:val="002C02A1"/>
    <w:rsid w:val="003137DC"/>
    <w:rsid w:val="00361484"/>
    <w:rsid w:val="0036579B"/>
    <w:rsid w:val="003D7E11"/>
    <w:rsid w:val="003F2040"/>
    <w:rsid w:val="0040000F"/>
    <w:rsid w:val="00401E7D"/>
    <w:rsid w:val="004116EC"/>
    <w:rsid w:val="00476FBB"/>
    <w:rsid w:val="00494BA1"/>
    <w:rsid w:val="004C6216"/>
    <w:rsid w:val="00512129"/>
    <w:rsid w:val="00592BF7"/>
    <w:rsid w:val="00597F89"/>
    <w:rsid w:val="005A1AB8"/>
    <w:rsid w:val="005C7E81"/>
    <w:rsid w:val="005D0A0C"/>
    <w:rsid w:val="005D7689"/>
    <w:rsid w:val="00622D0D"/>
    <w:rsid w:val="00634C9F"/>
    <w:rsid w:val="00653D56"/>
    <w:rsid w:val="00656F73"/>
    <w:rsid w:val="0068418A"/>
    <w:rsid w:val="006E08DA"/>
    <w:rsid w:val="00720F25"/>
    <w:rsid w:val="0072731E"/>
    <w:rsid w:val="007278E9"/>
    <w:rsid w:val="0073360E"/>
    <w:rsid w:val="007939EC"/>
    <w:rsid w:val="007A26B9"/>
    <w:rsid w:val="007B3982"/>
    <w:rsid w:val="007D0D06"/>
    <w:rsid w:val="008144A5"/>
    <w:rsid w:val="00817098"/>
    <w:rsid w:val="00833F47"/>
    <w:rsid w:val="008601C2"/>
    <w:rsid w:val="00871219"/>
    <w:rsid w:val="0089338C"/>
    <w:rsid w:val="00895AB6"/>
    <w:rsid w:val="008A699E"/>
    <w:rsid w:val="008F20CD"/>
    <w:rsid w:val="00916D8D"/>
    <w:rsid w:val="00951F7B"/>
    <w:rsid w:val="009650ED"/>
    <w:rsid w:val="00965869"/>
    <w:rsid w:val="0097136F"/>
    <w:rsid w:val="00984AEA"/>
    <w:rsid w:val="009A0C00"/>
    <w:rsid w:val="009A3DA2"/>
    <w:rsid w:val="009A7F8D"/>
    <w:rsid w:val="009D1AEF"/>
    <w:rsid w:val="009E03DD"/>
    <w:rsid w:val="00A31EA7"/>
    <w:rsid w:val="00A329F7"/>
    <w:rsid w:val="00A81B4C"/>
    <w:rsid w:val="00A86822"/>
    <w:rsid w:val="00AB64EC"/>
    <w:rsid w:val="00AC0EB1"/>
    <w:rsid w:val="00AC1677"/>
    <w:rsid w:val="00AF270F"/>
    <w:rsid w:val="00B02AF5"/>
    <w:rsid w:val="00B3539E"/>
    <w:rsid w:val="00B41E40"/>
    <w:rsid w:val="00B73689"/>
    <w:rsid w:val="00B80424"/>
    <w:rsid w:val="00B819C6"/>
    <w:rsid w:val="00B9559C"/>
    <w:rsid w:val="00B97EF9"/>
    <w:rsid w:val="00BF7CF5"/>
    <w:rsid w:val="00C12A80"/>
    <w:rsid w:val="00C22440"/>
    <w:rsid w:val="00C40334"/>
    <w:rsid w:val="00C607E2"/>
    <w:rsid w:val="00C75A57"/>
    <w:rsid w:val="00CB1866"/>
    <w:rsid w:val="00CF367B"/>
    <w:rsid w:val="00DA081F"/>
    <w:rsid w:val="00DA1B23"/>
    <w:rsid w:val="00DC19E8"/>
    <w:rsid w:val="00DE0114"/>
    <w:rsid w:val="00DE5AAE"/>
    <w:rsid w:val="00E5088F"/>
    <w:rsid w:val="00E86448"/>
    <w:rsid w:val="00EA543D"/>
    <w:rsid w:val="00EA6CAA"/>
    <w:rsid w:val="00ED64D1"/>
    <w:rsid w:val="00EE15ED"/>
    <w:rsid w:val="00F014E2"/>
    <w:rsid w:val="00F60B81"/>
    <w:rsid w:val="00F70590"/>
    <w:rsid w:val="00F82D7D"/>
    <w:rsid w:val="00FA0F6F"/>
    <w:rsid w:val="00FE2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38CD4"/>
  <w15:chartTrackingRefBased/>
  <w15:docId w15:val="{22C14AE8-6E96-4556-83C0-BDEF4848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2A039B"/>
    <w:pPr>
      <w:numPr>
        <w:numId w:val="1"/>
      </w:numPr>
    </w:pPr>
  </w:style>
  <w:style w:type="character" w:styleId="Strong">
    <w:name w:val="Strong"/>
    <w:basedOn w:val="DefaultParagraphFont"/>
    <w:uiPriority w:val="22"/>
    <w:qFormat/>
    <w:rsid w:val="0040000F"/>
    <w:rPr>
      <w:b/>
      <w:bCs/>
    </w:rPr>
  </w:style>
  <w:style w:type="table" w:styleId="TableGrid">
    <w:name w:val="Table Grid"/>
    <w:basedOn w:val="TableNormal"/>
    <w:uiPriority w:val="39"/>
    <w:rsid w:val="00400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40000F"/>
    <w:pPr>
      <w:spacing w:after="0" w:line="240" w:lineRule="auto"/>
    </w:pPr>
    <w:rPr>
      <w:rFonts w:cs="Times New Roman"/>
      <w:sz w:val="24"/>
      <w:szCs w:val="32"/>
      <w:lang w:bidi="en-US"/>
    </w:rPr>
  </w:style>
  <w:style w:type="paragraph" w:customStyle="1" w:styleId="Default">
    <w:name w:val="Default"/>
    <w:rsid w:val="0040000F"/>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40000F"/>
    <w:pPr>
      <w:ind w:left="720"/>
      <w:contextualSpacing/>
    </w:pPr>
  </w:style>
  <w:style w:type="character" w:styleId="SubtleEmphasis">
    <w:name w:val="Subtle Emphasis"/>
    <w:basedOn w:val="DefaultParagraphFont"/>
    <w:uiPriority w:val="19"/>
    <w:qFormat/>
    <w:rsid w:val="008A699E"/>
    <w:rPr>
      <w:i/>
      <w:iCs/>
      <w:color w:val="404040" w:themeColor="text1" w:themeTint="BF"/>
    </w:rPr>
  </w:style>
  <w:style w:type="paragraph" w:styleId="Header">
    <w:name w:val="header"/>
    <w:basedOn w:val="Normal"/>
    <w:link w:val="HeaderChar"/>
    <w:uiPriority w:val="99"/>
    <w:unhideWhenUsed/>
    <w:rsid w:val="000A4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171"/>
  </w:style>
  <w:style w:type="paragraph" w:styleId="Footer">
    <w:name w:val="footer"/>
    <w:basedOn w:val="Normal"/>
    <w:link w:val="FooterChar"/>
    <w:uiPriority w:val="99"/>
    <w:unhideWhenUsed/>
    <w:rsid w:val="000A4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171"/>
  </w:style>
  <w:style w:type="paragraph" w:styleId="BalloonText">
    <w:name w:val="Balloon Text"/>
    <w:basedOn w:val="Normal"/>
    <w:link w:val="BalloonTextChar"/>
    <w:uiPriority w:val="99"/>
    <w:semiHidden/>
    <w:unhideWhenUsed/>
    <w:rsid w:val="00BF7C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CF5"/>
    <w:rPr>
      <w:rFonts w:ascii="Segoe UI" w:hAnsi="Segoe UI" w:cs="Segoe UI"/>
      <w:sz w:val="18"/>
      <w:szCs w:val="18"/>
    </w:rPr>
  </w:style>
  <w:style w:type="character" w:styleId="CommentReference">
    <w:name w:val="annotation reference"/>
    <w:basedOn w:val="DefaultParagraphFont"/>
    <w:uiPriority w:val="99"/>
    <w:semiHidden/>
    <w:unhideWhenUsed/>
    <w:rsid w:val="00494BA1"/>
    <w:rPr>
      <w:sz w:val="16"/>
      <w:szCs w:val="16"/>
    </w:rPr>
  </w:style>
  <w:style w:type="paragraph" w:styleId="CommentText">
    <w:name w:val="annotation text"/>
    <w:basedOn w:val="Normal"/>
    <w:link w:val="CommentTextChar"/>
    <w:uiPriority w:val="99"/>
    <w:unhideWhenUsed/>
    <w:rsid w:val="00494BA1"/>
    <w:pPr>
      <w:spacing w:line="240" w:lineRule="auto"/>
    </w:pPr>
    <w:rPr>
      <w:sz w:val="20"/>
      <w:szCs w:val="20"/>
    </w:rPr>
  </w:style>
  <w:style w:type="character" w:customStyle="1" w:styleId="CommentTextChar">
    <w:name w:val="Comment Text Char"/>
    <w:basedOn w:val="DefaultParagraphFont"/>
    <w:link w:val="CommentText"/>
    <w:uiPriority w:val="99"/>
    <w:rsid w:val="00494BA1"/>
    <w:rPr>
      <w:sz w:val="20"/>
      <w:szCs w:val="20"/>
    </w:rPr>
  </w:style>
  <w:style w:type="paragraph" w:styleId="CommentSubject">
    <w:name w:val="annotation subject"/>
    <w:basedOn w:val="CommentText"/>
    <w:next w:val="CommentText"/>
    <w:link w:val="CommentSubjectChar"/>
    <w:uiPriority w:val="99"/>
    <w:semiHidden/>
    <w:unhideWhenUsed/>
    <w:rsid w:val="00494BA1"/>
    <w:rPr>
      <w:b/>
      <w:bCs/>
    </w:rPr>
  </w:style>
  <w:style w:type="character" w:customStyle="1" w:styleId="CommentSubjectChar">
    <w:name w:val="Comment Subject Char"/>
    <w:basedOn w:val="CommentTextChar"/>
    <w:link w:val="CommentSubject"/>
    <w:uiPriority w:val="99"/>
    <w:semiHidden/>
    <w:rsid w:val="00494BA1"/>
    <w:rPr>
      <w:b/>
      <w:bCs/>
      <w:sz w:val="20"/>
      <w:szCs w:val="20"/>
    </w:rPr>
  </w:style>
  <w:style w:type="character" w:styleId="Hyperlink">
    <w:name w:val="Hyperlink"/>
    <w:basedOn w:val="DefaultParagraphFont"/>
    <w:uiPriority w:val="99"/>
    <w:unhideWhenUsed/>
    <w:rsid w:val="00EE15ED"/>
    <w:rPr>
      <w:color w:val="0563C1" w:themeColor="hyperlink"/>
      <w:u w:val="single"/>
    </w:rPr>
  </w:style>
  <w:style w:type="character" w:styleId="FollowedHyperlink">
    <w:name w:val="FollowedHyperlink"/>
    <w:basedOn w:val="DefaultParagraphFont"/>
    <w:uiPriority w:val="99"/>
    <w:semiHidden/>
    <w:unhideWhenUsed/>
    <w:rsid w:val="00A329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238090">
      <w:bodyDiv w:val="1"/>
      <w:marLeft w:val="0"/>
      <w:marRight w:val="0"/>
      <w:marTop w:val="0"/>
      <w:marBottom w:val="0"/>
      <w:divBdr>
        <w:top w:val="none" w:sz="0" w:space="0" w:color="auto"/>
        <w:left w:val="none" w:sz="0" w:space="0" w:color="auto"/>
        <w:bottom w:val="none" w:sz="0" w:space="0" w:color="auto"/>
        <w:right w:val="none" w:sz="0" w:space="0" w:color="auto"/>
      </w:divBdr>
    </w:div>
    <w:div w:id="1505319166">
      <w:bodyDiv w:val="1"/>
      <w:marLeft w:val="0"/>
      <w:marRight w:val="0"/>
      <w:marTop w:val="0"/>
      <w:marBottom w:val="0"/>
      <w:divBdr>
        <w:top w:val="none" w:sz="0" w:space="0" w:color="auto"/>
        <w:left w:val="none" w:sz="0" w:space="0" w:color="auto"/>
        <w:bottom w:val="none" w:sz="0" w:space="0" w:color="auto"/>
        <w:right w:val="none" w:sz="0" w:space="0" w:color="auto"/>
      </w:divBdr>
    </w:div>
    <w:div w:id="158749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violenceprevention/pdf/suicideTechnicalPackag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cdc.gov/violenceprevention/pdf/suicideTechnicalPackag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J. Satzler</dc:creator>
  <cp:keywords/>
  <dc:description/>
  <cp:lastModifiedBy>Connie J. Satzler</cp:lastModifiedBy>
  <cp:revision>2</cp:revision>
  <cp:lastPrinted>2018-07-24T14:10:00Z</cp:lastPrinted>
  <dcterms:created xsi:type="dcterms:W3CDTF">2019-07-25T15:31:00Z</dcterms:created>
  <dcterms:modified xsi:type="dcterms:W3CDTF">2019-07-25T15:31:00Z</dcterms:modified>
</cp:coreProperties>
</file>